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bCs/>
          <w:sz w:val="44"/>
          <w:szCs w:val="44"/>
        </w:rPr>
      </w:pPr>
      <w:r>
        <w:rPr>
          <w:rFonts w:hint="eastAsia" w:ascii="宋体" w:hAnsi="宋体" w:eastAsia="宋体" w:cs="宋体"/>
          <w:b/>
          <w:bCs/>
          <w:sz w:val="44"/>
          <w:szCs w:val="44"/>
        </w:rPr>
        <w:t>应急管理部办公厅关于开展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bCs/>
          <w:sz w:val="44"/>
          <w:szCs w:val="44"/>
        </w:rPr>
      </w:pPr>
      <w:r>
        <w:rPr>
          <w:rFonts w:hint="eastAsia" w:ascii="宋体" w:hAnsi="宋体" w:eastAsia="宋体" w:cs="宋体"/>
          <w:b/>
          <w:bCs/>
          <w:sz w:val="44"/>
          <w:szCs w:val="44"/>
        </w:rPr>
        <w:t>金属非金属地下矿山专项执法行动的通知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应急厅〔2019〕30号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各省、自治区、直辖市应急管理厅（局），新疆生产建设兵团安全生产监督管理局: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为深刻吸取内蒙古自治区西乌珠穆沁旗银漫矿业有限责任公司“2·23”井下重大运输事故教训，针对金属非金属矿山暴露出的采用非法改装车辆运输人员、运人车辆违规使用干式制动器、未严格执行井下爆破等高危作业审批制度等方面的突出问题，应急管理部决定于2019年3至4月份，开展金属非金属地下矿山专项执法行动。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　　一、工作目标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严厉打击一批违法行为，处罚一批违法企业，推动基层解决执法难度大、安全风险大和部分企业不会查、不想查、不认真查的问题；提升基层执法人员能力和企业自主管理安全生产水平，促进企业主动消除违法行为，有效防范化解重大安全风险，坚决遏制重特大事故，为新中国成立70周年和全面建成小康社会创造良好的安全生产环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　　二、工作内容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按照《金属非金属地下矿山安全生产专项执法表》（见附件1）明确的执法内容对全国所有金属非金属地下矿山开展专项执法工作；上级执法部门主动了解下级情况，对下级提供支持，帮下级推动工作；坚持执法与服务并重，邀请专家对企业开展指导服务，指导督促企业有效解决安全生产中的突出问题，提高金属非金属地下矿山安全生产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　　三、工作分工和方式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按照管辖权限落实责任分工。应急管理部和各省级应急管理部门对单班入井30人以上（含30人）的金属非金属地下矿山（以下统称重点地下矿山）进行全覆盖重点执法指导。各级应急管理部门负责各自管辖权内的专项执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（一）应急管理部。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1.开展培训。应急管理部将对各级应急管理部门参与专项执法行动的执法人员和专家进行视频培训（视频培训具体时间另行通知），统一思想、提高认识、明确任务、落实责任，对金属非金属地下矿山安全生产专项执法行动明确的违法行为进行讲解，提高执法行动的针对性和实效性，解决执法检查浮于表面、深不下去的问题，提高执法人员查处违法行为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2.进行抽查。应急管理部组织执法指导组,对部分地区重点地下矿山专项执法行动进行抽查指导（重点抽查名单见附件2），同时邀请专家对企业开展指导服务；执法指导组和省级应急管理部门共同对重点地下矿山开展现场执法指导，负有管辖权的应急管理部门参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3.协调指导。负责省级应急管理部门报告的难以解决案件的处置。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4.总结通报。专项执法行动结束后，应急管理部将对专项执法情况进行总结，对各地专项执法行动开展情况，特别是行政处罚和执法闭环情况进行汇总分析，并将工作情况向全国通报。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（二）省级应急管理部门。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1.制定实施方案。各省级应急管理部门要制定专项执法行动实施方案，根据工作任务需要，组成若干执法指导组（每个组至少由两名执法人员和两名专家组成）,对辖区内重点地下矿山进行执法指导。请于3月7日前将实施方案和专家信息报送应急管理部安全生产执法局（专家信息表见附件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2.开展执法。有管辖权职责的省级应急管理部门依职责开展专项执法行动。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3.进行检查。各省级应急管理部门要对除会同应急管理部执法指导组抽查以外的全部重点地下矿山进行执法指导，负有管辖权的应急管理部门参加。同时，指导督促下级应急管理部门开展专项执法行动。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4.协调指导。负责下级应急管理部门报告的难以解决案件的处置；解决不了的案件，要及时向上级报告。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5.总结上报。各省级应急管理部门要认真总结专项执法行动中的经验和问题，于5月15日前将工作总结报送应急管理部安全生产执法局（联系人及电话：吴昊，010-64463683〈兼传真〉，电子邮箱：wuh@chinasafety.gov.cn）。</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（三）市县两级应急管理部门。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1.负责执法专项行动实施。按照上级应急管理部门的要求，具体负责管辖权限内的金属非金属地下矿山的专项执法行动，依管辖权限进行执法处罚。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2.完善企业基础台账，定期向上级报送工作进展情况。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3.专项执法行动中发现的执法难度大、安全风险大、基层查不动、解决不了的难题，及时向上级报告。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　　四、工作要求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一）规范执法行为。各级应急管理部门要做好执法公示，主动公开专项执法行动的内容、依据、结果、监督方式等执法信息，形成社会监督舆论氛围，推动企业主动整改违法行为；要严格落实执法全过程记录制度、重大执法决定法制审核制度的具体要求，依照法定程序、权限对企业存在的违法行为进行执法。上级应急管理部门已抽查的重点地下矿山，下级应急管理部门不再另行安排专项执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二）严格执法处罚。各级应急管理部门在专项执法行动中，要严格按照《金属非金属地下矿山安全生产专项执法表》确定的内容开展执法，发现企业存在违法行为，要严格依法作出行政处罚决定，下达执法文书；根据需要，及时发出建议函、警示函、整改督办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三）消除违法行为。各级负有管辖权的应急管理部门，要做好现场检查记录并由企业负责人签字；对专项执法行动中发现的违法行为要依法下达执法文书，一盯到底，做到闭环管理。对整改难度大的违法行为，要依法责令停产停业整顿，落实防范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四）创新执法方式。要创新执法方式，做到执法与服务结合，开展“说理式执法”，创造公平公正规范透明的执法环境，为企业提供良好的生产经营环境。执法过程中，企业主要负责人、安全管理人员、现场岗位员工要在场，专家要向企业提供咨询服务，以达到安全生产执法的示范、教育和培训目的；并向企业主要负责人讲解相关法律法规要求，通过督促其履职尽责，主动整改消除企业的安全生产违法行为，推动企业落实主体责任。通过规范文明执法，进一步树立安全执法的威信，形成执法的强大威慑力，推动企业安全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五）强化结果运用。各级应急管理部门在专项执法行动中，发现企业违法行为符合《对安全生产领域失信行为开展联合惩戒的实施办法》（安监总办〔2017〕49号）规定的，要按规定纳入联合惩戒对象或安全生产不良记录“黑名单”，通过实施联合惩戒，形成有力震慑，增强企业守法的自觉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六）做好宣传曝光。各级应急管理部门要认真做好专项执法行动宣传工作，充分运用网站、广播电视、微信公众号等各类媒体，大力宣传正面典型、曝光反面典型。同时，要鼓励群众积极举报安全生产违法行为，营造良好氛围，形成安全生产严格执法高压态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七）严格工作纪律。所有参与执法专项行动的工作人员应贯彻落实中央八项规定精神，加强党风廉政建设，坚决反对形式主义和官僚主义；要深入基层现场，坚持原则，敢于发现问题、指出问题，要敢于动真碰硬，务求实效，全面提升执法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附件：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1.金属非金属地下矿山安全生产专项执法表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2.重点抽查名单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3.专家信息表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仿宋" w:hAnsi="仿宋" w:eastAsia="仿宋" w:cs="仿宋"/>
          <w:sz w:val="32"/>
          <w:szCs w:val="32"/>
        </w:rPr>
      </w:pPr>
      <w:r>
        <w:rPr>
          <w:rFonts w:hint="eastAsia" w:ascii="仿宋" w:hAnsi="仿宋" w:eastAsia="仿宋" w:cs="仿宋"/>
          <w:sz w:val="32"/>
          <w:szCs w:val="32"/>
        </w:rPr>
        <w:t>应急管理部办公厅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仿宋" w:hAnsi="仿宋" w:eastAsia="仿宋" w:cs="仿宋"/>
          <w:sz w:val="32"/>
          <w:szCs w:val="32"/>
        </w:rPr>
      </w:pPr>
      <w:r>
        <w:rPr>
          <w:rFonts w:hint="eastAsia" w:ascii="仿宋" w:hAnsi="仿宋" w:eastAsia="仿宋" w:cs="仿宋"/>
          <w:sz w:val="32"/>
          <w:szCs w:val="32"/>
        </w:rPr>
        <w:t>2019年3月4日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 w:hAnsi="仿宋" w:eastAsia="仿宋" w:cs="仿宋"/>
          <w:sz w:val="32"/>
          <w:szCs w:val="32"/>
        </w:rPr>
        <w:sectPr>
          <w:pgSz w:w="11906" w:h="16838"/>
          <w:pgMar w:top="1440" w:right="1800" w:bottom="1440" w:left="1800" w:header="851" w:footer="992" w:gutter="0"/>
          <w:cols w:space="425" w:num="1"/>
          <w:docGrid w:type="lines" w:linePitch="312" w:charSpace="0"/>
        </w:sectPr>
      </w:pPr>
    </w:p>
    <w:p>
      <w:pPr>
        <w:jc w:val="left"/>
        <w:rPr>
          <w:rFonts w:ascii="黑体" w:hAnsi="黑体" w:eastAsia="黑体"/>
          <w:sz w:val="32"/>
          <w:szCs w:val="32"/>
        </w:rPr>
      </w:pPr>
      <w:r>
        <w:rPr>
          <w:rFonts w:hint="eastAsia" w:ascii="黑体" w:hAnsi="黑体" w:eastAsia="黑体"/>
          <w:sz w:val="32"/>
          <w:szCs w:val="32"/>
        </w:rPr>
        <w:t>附件1</w:t>
      </w:r>
    </w:p>
    <w:p>
      <w:pPr>
        <w:jc w:val="center"/>
        <w:rPr>
          <w:rFonts w:ascii="方正小标宋简体" w:eastAsia="方正小标宋简体"/>
          <w:sz w:val="44"/>
          <w:szCs w:val="44"/>
        </w:rPr>
      </w:pPr>
      <w:r>
        <w:rPr>
          <w:rFonts w:hint="eastAsia" w:ascii="方正小标宋简体" w:eastAsia="方正小标宋简体"/>
          <w:sz w:val="44"/>
          <w:szCs w:val="44"/>
        </w:rPr>
        <w:t>金属非金属地下矿山安全生产专项执法表</w:t>
      </w:r>
    </w:p>
    <w:p>
      <w:pPr>
        <w:spacing w:line="560" w:lineRule="exact"/>
        <w:rPr>
          <w:rFonts w:ascii="Times New Roman" w:hAnsi="Times New Roman" w:eastAsia="仿宋_GB2312"/>
          <w:sz w:val="32"/>
          <w:szCs w:val="32"/>
        </w:rPr>
      </w:pPr>
    </w:p>
    <w:p>
      <w:pPr>
        <w:spacing w:line="560" w:lineRule="exact"/>
        <w:rPr>
          <w:rFonts w:eastAsia="仿宋_GB2312"/>
          <w:sz w:val="32"/>
          <w:szCs w:val="32"/>
          <w:u w:val="single"/>
        </w:rPr>
      </w:pPr>
      <w:r>
        <w:rPr>
          <w:rFonts w:hint="eastAsia" w:ascii="Times New Roman" w:hAnsi="Times New Roman" w:eastAsia="仿宋_GB2312"/>
          <w:sz w:val="32"/>
          <w:szCs w:val="32"/>
        </w:rPr>
        <w:t>执法</w:t>
      </w:r>
      <w:r>
        <w:rPr>
          <w:rFonts w:ascii="Times New Roman" w:hAnsi="Times New Roman" w:eastAsia="仿宋_GB2312"/>
          <w:sz w:val="32"/>
          <w:szCs w:val="32"/>
        </w:rPr>
        <w:t xml:space="preserve">单位：（盖章）    </w:t>
      </w:r>
      <w:r>
        <w:rPr>
          <w:rFonts w:hint="eastAsia" w:ascii="Times New Roman" w:hAnsi="Times New Roman" w:eastAsia="仿宋_GB2312"/>
          <w:sz w:val="32"/>
          <w:szCs w:val="32"/>
        </w:rPr>
        <w:t>执法</w:t>
      </w:r>
      <w:r>
        <w:rPr>
          <w:rFonts w:ascii="Times New Roman" w:hAnsi="Times New Roman" w:eastAsia="仿宋_GB2312"/>
          <w:sz w:val="32"/>
          <w:szCs w:val="32"/>
        </w:rPr>
        <w:t>人员：</w:t>
      </w:r>
      <w:r>
        <w:rPr>
          <w:rFonts w:hint="eastAsia" w:ascii="Times New Roman" w:hAnsi="Times New Roman" w:eastAsia="仿宋_GB2312"/>
          <w:sz w:val="32"/>
          <w:szCs w:val="32"/>
        </w:rPr>
        <w:t>执法</w:t>
      </w:r>
      <w:r>
        <w:rPr>
          <w:rFonts w:ascii="Times New Roman" w:hAnsi="Times New Roman" w:eastAsia="仿宋_GB2312"/>
          <w:sz w:val="32"/>
          <w:szCs w:val="32"/>
        </w:rPr>
        <w:t>日期：</w:t>
      </w:r>
    </w:p>
    <w:p>
      <w:pPr>
        <w:spacing w:line="560" w:lineRule="exact"/>
        <w:rPr>
          <w:rFonts w:eastAsia="仿宋_GB2312"/>
          <w:sz w:val="32"/>
          <w:szCs w:val="32"/>
        </w:rPr>
      </w:pPr>
      <w:r>
        <w:rPr>
          <w:rFonts w:hint="eastAsia" w:eastAsia="仿宋_GB2312"/>
          <w:sz w:val="32"/>
          <w:szCs w:val="32"/>
        </w:rPr>
        <w:t>企业名称（地址）：</w:t>
      </w:r>
    </w:p>
    <w:tbl>
      <w:tblPr>
        <w:tblStyle w:val="5"/>
        <w:tblW w:w="140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766"/>
        <w:gridCol w:w="1985"/>
        <w:gridCol w:w="3827"/>
        <w:gridCol w:w="2693"/>
        <w:gridCol w:w="311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blHeader/>
        </w:trPr>
        <w:tc>
          <w:tcPr>
            <w:tcW w:w="766" w:type="dxa"/>
            <w:vAlign w:val="center"/>
          </w:tcPr>
          <w:p>
            <w:pPr>
              <w:adjustRightInd w:val="0"/>
              <w:snapToGrid w:val="0"/>
              <w:spacing w:line="280" w:lineRule="exact"/>
              <w:jc w:val="center"/>
              <w:rPr>
                <w:rFonts w:ascii="黑体" w:hAnsi="黑体" w:eastAsia="黑体"/>
                <w:sz w:val="28"/>
                <w:szCs w:val="28"/>
              </w:rPr>
            </w:pPr>
            <w:r>
              <w:rPr>
                <w:rFonts w:hint="eastAsia" w:ascii="黑体" w:hAnsi="黑体" w:eastAsia="黑体"/>
                <w:sz w:val="28"/>
                <w:szCs w:val="28"/>
              </w:rPr>
              <w:t>序号</w:t>
            </w:r>
          </w:p>
        </w:tc>
        <w:tc>
          <w:tcPr>
            <w:tcW w:w="1985" w:type="dxa"/>
            <w:vAlign w:val="center"/>
          </w:tcPr>
          <w:p>
            <w:pPr>
              <w:adjustRightInd w:val="0"/>
              <w:snapToGrid w:val="0"/>
              <w:spacing w:line="280" w:lineRule="exact"/>
              <w:jc w:val="center"/>
              <w:rPr>
                <w:rFonts w:ascii="黑体" w:hAnsi="黑体" w:eastAsia="黑体"/>
                <w:sz w:val="28"/>
                <w:szCs w:val="28"/>
              </w:rPr>
            </w:pPr>
            <w:r>
              <w:rPr>
                <w:rFonts w:hint="eastAsia" w:ascii="黑体" w:hAnsi="黑体" w:eastAsia="黑体"/>
                <w:sz w:val="28"/>
                <w:szCs w:val="28"/>
              </w:rPr>
              <w:t>违法行为描述</w:t>
            </w:r>
          </w:p>
        </w:tc>
        <w:tc>
          <w:tcPr>
            <w:tcW w:w="3827" w:type="dxa"/>
            <w:vAlign w:val="center"/>
          </w:tcPr>
          <w:p>
            <w:pPr>
              <w:adjustRightInd w:val="0"/>
              <w:snapToGrid w:val="0"/>
              <w:spacing w:line="280" w:lineRule="exact"/>
              <w:jc w:val="center"/>
              <w:rPr>
                <w:rFonts w:ascii="黑体" w:hAnsi="黑体" w:eastAsia="黑体"/>
                <w:sz w:val="28"/>
                <w:szCs w:val="28"/>
              </w:rPr>
            </w:pPr>
            <w:r>
              <w:rPr>
                <w:rFonts w:hint="eastAsia" w:ascii="黑体" w:hAnsi="黑体" w:eastAsia="黑体"/>
                <w:sz w:val="28"/>
                <w:szCs w:val="28"/>
              </w:rPr>
              <w:t>执法</w:t>
            </w:r>
            <w:r>
              <w:rPr>
                <w:rFonts w:ascii="黑体" w:hAnsi="黑体" w:eastAsia="黑体"/>
                <w:sz w:val="28"/>
                <w:szCs w:val="28"/>
              </w:rPr>
              <w:t>依据</w:t>
            </w:r>
          </w:p>
        </w:tc>
        <w:tc>
          <w:tcPr>
            <w:tcW w:w="2693" w:type="dxa"/>
            <w:vAlign w:val="center"/>
          </w:tcPr>
          <w:p>
            <w:pPr>
              <w:adjustRightInd w:val="0"/>
              <w:snapToGrid w:val="0"/>
              <w:spacing w:line="280" w:lineRule="exact"/>
              <w:jc w:val="center"/>
              <w:rPr>
                <w:rFonts w:ascii="黑体" w:hAnsi="黑体" w:eastAsia="黑体"/>
                <w:sz w:val="28"/>
                <w:szCs w:val="28"/>
              </w:rPr>
            </w:pPr>
            <w:r>
              <w:rPr>
                <w:rFonts w:hint="eastAsia" w:ascii="黑体" w:hAnsi="黑体" w:eastAsia="黑体"/>
                <w:sz w:val="28"/>
                <w:szCs w:val="28"/>
              </w:rPr>
              <w:t>方式方法</w:t>
            </w:r>
          </w:p>
        </w:tc>
        <w:tc>
          <w:tcPr>
            <w:tcW w:w="3119" w:type="dxa"/>
            <w:vAlign w:val="center"/>
          </w:tcPr>
          <w:p>
            <w:pPr>
              <w:adjustRightInd w:val="0"/>
              <w:snapToGrid w:val="0"/>
              <w:spacing w:line="280" w:lineRule="exact"/>
              <w:jc w:val="center"/>
              <w:rPr>
                <w:rFonts w:ascii="黑体" w:hAnsi="黑体" w:eastAsia="黑体"/>
                <w:sz w:val="28"/>
                <w:szCs w:val="28"/>
              </w:rPr>
            </w:pPr>
            <w:r>
              <w:rPr>
                <w:rFonts w:hint="eastAsia" w:ascii="黑体" w:hAnsi="黑体" w:eastAsia="黑体"/>
                <w:sz w:val="28"/>
                <w:szCs w:val="28"/>
              </w:rPr>
              <w:t>处罚依据</w:t>
            </w:r>
          </w:p>
        </w:tc>
        <w:tc>
          <w:tcPr>
            <w:tcW w:w="1701" w:type="dxa"/>
            <w:vAlign w:val="center"/>
          </w:tcPr>
          <w:p>
            <w:pPr>
              <w:adjustRightInd w:val="0"/>
              <w:snapToGrid w:val="0"/>
              <w:spacing w:line="280" w:lineRule="exact"/>
              <w:jc w:val="center"/>
              <w:rPr>
                <w:rFonts w:ascii="黑体" w:hAnsi="黑体" w:eastAsia="黑体"/>
                <w:sz w:val="28"/>
                <w:szCs w:val="28"/>
              </w:rPr>
            </w:pPr>
            <w:r>
              <w:rPr>
                <w:rFonts w:hint="eastAsia" w:ascii="黑体" w:hAnsi="黑体" w:eastAsia="黑体"/>
                <w:sz w:val="28"/>
                <w:szCs w:val="28"/>
              </w:rPr>
              <w:t>执法结果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667" w:hRule="atLeast"/>
        </w:trPr>
        <w:tc>
          <w:tcPr>
            <w:tcW w:w="766" w:type="dxa"/>
            <w:vAlign w:val="center"/>
          </w:tcPr>
          <w:p>
            <w:pPr>
              <w:adjustRightInd w:val="0"/>
              <w:snapToGrid w:val="0"/>
              <w:spacing w:line="280" w:lineRule="exact"/>
              <w:jc w:val="center"/>
              <w:rPr>
                <w:rFonts w:ascii="仿宋_GB2312" w:hAnsi="黑体" w:eastAsia="仿宋_GB2312"/>
                <w:szCs w:val="21"/>
              </w:rPr>
            </w:pPr>
            <w:r>
              <w:rPr>
                <w:rFonts w:hint="eastAsia" w:ascii="仿宋_GB2312" w:hAnsi="黑体" w:eastAsia="仿宋_GB2312"/>
                <w:szCs w:val="21"/>
              </w:rPr>
              <w:t>1</w:t>
            </w:r>
          </w:p>
        </w:tc>
        <w:tc>
          <w:tcPr>
            <w:tcW w:w="1985" w:type="dxa"/>
            <w:vAlign w:val="center"/>
          </w:tcPr>
          <w:p>
            <w:pPr>
              <w:adjustRightInd w:val="0"/>
              <w:snapToGrid w:val="0"/>
              <w:spacing w:line="280" w:lineRule="exact"/>
              <w:rPr>
                <w:rFonts w:ascii="仿宋_GB2312" w:eastAsia="仿宋_GB2312"/>
                <w:szCs w:val="21"/>
              </w:rPr>
            </w:pPr>
            <w:r>
              <w:rPr>
                <w:rFonts w:hint="eastAsia" w:ascii="仿宋_GB2312" w:eastAsia="仿宋_GB2312"/>
                <w:szCs w:val="21"/>
              </w:rPr>
              <w:t>矿山井下运输车辆未取得安全标志</w:t>
            </w:r>
          </w:p>
        </w:tc>
        <w:tc>
          <w:tcPr>
            <w:tcW w:w="3827" w:type="dxa"/>
            <w:vAlign w:val="center"/>
          </w:tcPr>
          <w:p>
            <w:pPr>
              <w:adjustRightInd w:val="0"/>
              <w:snapToGrid w:val="0"/>
              <w:spacing w:line="280" w:lineRule="exact"/>
              <w:rPr>
                <w:rFonts w:ascii="仿宋_GB2312" w:eastAsia="仿宋_GB2312"/>
                <w:szCs w:val="21"/>
              </w:rPr>
            </w:pPr>
            <w:r>
              <w:rPr>
                <w:rFonts w:hint="eastAsia" w:ascii="仿宋_GB2312" w:eastAsia="仿宋_GB2312"/>
                <w:szCs w:val="21"/>
              </w:rPr>
              <w:t>《安全生产法》第三十四条：“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tc>
        <w:tc>
          <w:tcPr>
            <w:tcW w:w="2693" w:type="dxa"/>
            <w:vAlign w:val="center"/>
          </w:tcPr>
          <w:p>
            <w:pPr>
              <w:adjustRightInd w:val="0"/>
              <w:snapToGrid w:val="0"/>
              <w:spacing w:line="280" w:lineRule="exact"/>
              <w:jc w:val="left"/>
              <w:rPr>
                <w:rFonts w:ascii="仿宋_GB2312" w:eastAsia="仿宋_GB2312"/>
                <w:szCs w:val="21"/>
              </w:rPr>
            </w:pPr>
            <w:r>
              <w:rPr>
                <w:rFonts w:hint="eastAsia" w:ascii="仿宋_GB2312" w:eastAsia="仿宋_GB2312"/>
                <w:szCs w:val="21"/>
              </w:rPr>
              <w:t>1.查阅资料：车辆运输人员、炸药和油料台账。</w:t>
            </w:r>
          </w:p>
          <w:p>
            <w:pPr>
              <w:adjustRightInd w:val="0"/>
              <w:snapToGrid w:val="0"/>
              <w:spacing w:line="280" w:lineRule="exact"/>
              <w:jc w:val="left"/>
              <w:rPr>
                <w:rFonts w:ascii="仿宋_GB2312" w:hAnsi="黑体" w:eastAsia="仿宋_GB2312"/>
                <w:szCs w:val="21"/>
              </w:rPr>
            </w:pPr>
            <w:r>
              <w:rPr>
                <w:rFonts w:hint="eastAsia" w:ascii="仿宋_GB2312" w:eastAsia="仿宋_GB2312"/>
                <w:szCs w:val="21"/>
              </w:rPr>
              <w:t>2.现场检查：核查是否存在采用非法改装、未取得安全标志汽车等非矿用设备运输人员、炸药和油料的行为。</w:t>
            </w:r>
          </w:p>
        </w:tc>
        <w:tc>
          <w:tcPr>
            <w:tcW w:w="3119" w:type="dxa"/>
            <w:vAlign w:val="center"/>
          </w:tcPr>
          <w:p>
            <w:pPr>
              <w:adjustRightInd w:val="0"/>
              <w:snapToGrid w:val="0"/>
              <w:spacing w:line="280" w:lineRule="exact"/>
              <w:jc w:val="left"/>
              <w:rPr>
                <w:rFonts w:ascii="仿宋_GB2312" w:eastAsia="仿宋_GB2312"/>
                <w:szCs w:val="21"/>
              </w:rPr>
            </w:pPr>
            <w:r>
              <w:rPr>
                <w:rFonts w:hint="eastAsia" w:ascii="仿宋_GB2312" w:eastAsia="仿宋_GB2312"/>
                <w:szCs w:val="21"/>
              </w:rPr>
              <w:t>《安全生产法》第九十六条第五项“危险物品的容器、运输工具，以及涉及人身安全、危险性较大的海洋石油开采特种设备和矿山井下特种设备未经具有专业资质的机构检测、检验合格，取得安全使用证或者安全标志，投入使用的”。</w:t>
            </w:r>
          </w:p>
        </w:tc>
        <w:tc>
          <w:tcPr>
            <w:tcW w:w="1701" w:type="dxa"/>
            <w:vAlign w:val="center"/>
          </w:tcPr>
          <w:p>
            <w:pPr>
              <w:adjustRightInd w:val="0"/>
              <w:snapToGrid w:val="0"/>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585" w:hRule="atLeast"/>
        </w:trPr>
        <w:tc>
          <w:tcPr>
            <w:tcW w:w="766" w:type="dxa"/>
            <w:vAlign w:val="center"/>
          </w:tcPr>
          <w:p>
            <w:pPr>
              <w:adjustRightInd w:val="0"/>
              <w:snapToGrid w:val="0"/>
              <w:spacing w:line="280" w:lineRule="exact"/>
              <w:jc w:val="center"/>
              <w:rPr>
                <w:rFonts w:ascii="仿宋_GB2312" w:hAnsi="黑体" w:eastAsia="仿宋_GB2312"/>
                <w:szCs w:val="21"/>
              </w:rPr>
            </w:pPr>
            <w:r>
              <w:rPr>
                <w:rFonts w:hint="eastAsia" w:ascii="仿宋_GB2312" w:hAnsi="黑体" w:eastAsia="仿宋_GB2312"/>
                <w:szCs w:val="21"/>
              </w:rPr>
              <w:t>2</w:t>
            </w:r>
          </w:p>
        </w:tc>
        <w:tc>
          <w:tcPr>
            <w:tcW w:w="1985" w:type="dxa"/>
            <w:vAlign w:val="center"/>
          </w:tcPr>
          <w:p>
            <w:pPr>
              <w:adjustRightInd w:val="0"/>
              <w:snapToGrid w:val="0"/>
              <w:spacing w:line="280" w:lineRule="exact"/>
              <w:rPr>
                <w:rFonts w:ascii="仿宋_GB2312" w:eastAsia="仿宋_GB2312"/>
                <w:szCs w:val="21"/>
              </w:rPr>
            </w:pPr>
            <w:r>
              <w:rPr>
                <w:rFonts w:hint="eastAsia" w:ascii="仿宋_GB2312" w:eastAsia="仿宋_GB2312"/>
                <w:szCs w:val="21"/>
              </w:rPr>
              <w:t>运送5人以上（含5人）的无轨胶轮车使用干式制动器</w:t>
            </w:r>
          </w:p>
        </w:tc>
        <w:tc>
          <w:tcPr>
            <w:tcW w:w="3827" w:type="dxa"/>
            <w:vAlign w:val="center"/>
          </w:tcPr>
          <w:p>
            <w:pPr>
              <w:adjustRightInd w:val="0"/>
              <w:snapToGrid w:val="0"/>
              <w:spacing w:line="280" w:lineRule="exact"/>
              <w:jc w:val="left"/>
              <w:rPr>
                <w:rFonts w:ascii="仿宋_GB2312" w:eastAsia="仿宋_GB2312"/>
                <w:szCs w:val="21"/>
              </w:rPr>
            </w:pPr>
            <w:r>
              <w:rPr>
                <w:rFonts w:hint="eastAsia" w:ascii="仿宋_GB2312" w:eastAsia="仿宋_GB2312"/>
                <w:szCs w:val="21"/>
              </w:rPr>
              <w:t>《安全生产法》第三十五条第三款：“</w:t>
            </w:r>
            <w:r>
              <w:rPr>
                <w:rFonts w:ascii="仿宋_GB2312" w:eastAsia="仿宋_GB2312"/>
                <w:szCs w:val="21"/>
              </w:rPr>
              <w:t>生产经营单位不得使用应当淘汰的危及生产安全的工艺、设备。</w:t>
            </w:r>
            <w:r>
              <w:rPr>
                <w:rFonts w:hint="eastAsia" w:ascii="仿宋_GB2312" w:eastAsia="仿宋_GB2312"/>
                <w:szCs w:val="21"/>
              </w:rPr>
              <w:t>”</w:t>
            </w:r>
          </w:p>
          <w:p>
            <w:pPr>
              <w:adjustRightInd w:val="0"/>
              <w:snapToGrid w:val="0"/>
              <w:spacing w:line="280" w:lineRule="exact"/>
              <w:jc w:val="left"/>
              <w:rPr>
                <w:rFonts w:ascii="仿宋_GB2312" w:eastAsia="仿宋_GB2312"/>
                <w:szCs w:val="21"/>
              </w:rPr>
            </w:pPr>
            <w:r>
              <w:rPr>
                <w:rFonts w:hint="eastAsia" w:ascii="仿宋_GB2312" w:eastAsia="仿宋_GB2312"/>
                <w:szCs w:val="21"/>
              </w:rPr>
              <w:t>金属非金属矿山禁止使用的设备及工艺目录（第二批）（安监总管一〔</w:t>
            </w:r>
            <w:r>
              <w:rPr>
                <w:rFonts w:ascii="仿宋_GB2312" w:eastAsia="仿宋_GB2312"/>
                <w:szCs w:val="21"/>
              </w:rPr>
              <w:t>201</w:t>
            </w:r>
            <w:r>
              <w:rPr>
                <w:rFonts w:hint="eastAsia" w:ascii="仿宋_GB2312" w:eastAsia="仿宋_GB2312"/>
                <w:szCs w:val="21"/>
              </w:rPr>
              <w:t>5</w:t>
            </w:r>
            <w:r>
              <w:rPr>
                <w:rFonts w:ascii="仿宋_GB2312" w:eastAsia="仿宋_GB2312"/>
                <w:szCs w:val="21"/>
              </w:rPr>
              <w:t>〕</w:t>
            </w:r>
            <w:r>
              <w:rPr>
                <w:rFonts w:hint="eastAsia" w:ascii="仿宋_GB2312" w:eastAsia="仿宋_GB2312"/>
                <w:szCs w:val="21"/>
              </w:rPr>
              <w:t>13</w:t>
            </w:r>
            <w:r>
              <w:rPr>
                <w:rFonts w:ascii="仿宋_GB2312" w:eastAsia="仿宋_GB2312"/>
                <w:szCs w:val="21"/>
              </w:rPr>
              <w:t>号）</w:t>
            </w:r>
          </w:p>
        </w:tc>
        <w:tc>
          <w:tcPr>
            <w:tcW w:w="2693" w:type="dxa"/>
            <w:vAlign w:val="center"/>
          </w:tcPr>
          <w:p>
            <w:pPr>
              <w:adjustRightInd w:val="0"/>
              <w:snapToGrid w:val="0"/>
              <w:spacing w:line="280" w:lineRule="exact"/>
              <w:jc w:val="left"/>
              <w:rPr>
                <w:rFonts w:ascii="仿宋_GB2312" w:eastAsia="仿宋_GB2312"/>
                <w:szCs w:val="21"/>
              </w:rPr>
            </w:pPr>
            <w:r>
              <w:rPr>
                <w:rFonts w:hint="eastAsia" w:ascii="仿宋_GB2312" w:eastAsia="仿宋_GB2312"/>
                <w:szCs w:val="21"/>
              </w:rPr>
              <w:t>1.查阅资料：无轨胶轮车台账。</w:t>
            </w:r>
          </w:p>
          <w:p>
            <w:pPr>
              <w:adjustRightInd w:val="0"/>
              <w:snapToGrid w:val="0"/>
              <w:spacing w:line="280" w:lineRule="exact"/>
              <w:jc w:val="left"/>
              <w:rPr>
                <w:rFonts w:ascii="仿宋_GB2312" w:hAnsi="黑体" w:eastAsia="仿宋_GB2312"/>
                <w:szCs w:val="21"/>
              </w:rPr>
            </w:pPr>
            <w:r>
              <w:rPr>
                <w:rFonts w:hint="eastAsia" w:ascii="仿宋_GB2312" w:eastAsia="仿宋_GB2312"/>
                <w:szCs w:val="21"/>
              </w:rPr>
              <w:t>2.现场检查：核查无轨胶轮车是否使用干式制动器。</w:t>
            </w:r>
          </w:p>
        </w:tc>
        <w:tc>
          <w:tcPr>
            <w:tcW w:w="3119" w:type="dxa"/>
            <w:vAlign w:val="center"/>
          </w:tcPr>
          <w:p>
            <w:pPr>
              <w:adjustRightInd w:val="0"/>
              <w:snapToGrid w:val="0"/>
              <w:spacing w:line="280" w:lineRule="exact"/>
              <w:jc w:val="left"/>
              <w:rPr>
                <w:rFonts w:ascii="仿宋_GB2312" w:eastAsia="仿宋_GB2312"/>
                <w:szCs w:val="21"/>
              </w:rPr>
            </w:pPr>
            <w:r>
              <w:rPr>
                <w:rFonts w:hint="eastAsia" w:ascii="仿宋_GB2312" w:eastAsia="仿宋_GB2312"/>
                <w:szCs w:val="21"/>
              </w:rPr>
              <w:t>《安全生产法》第九十六条第六项“使用应当淘汰的危及生产安全的工艺、设备的”。</w:t>
            </w:r>
          </w:p>
          <w:p>
            <w:pPr>
              <w:adjustRightInd w:val="0"/>
              <w:snapToGrid w:val="0"/>
              <w:spacing w:line="280" w:lineRule="exact"/>
              <w:jc w:val="left"/>
              <w:rPr>
                <w:rFonts w:ascii="仿宋_GB2312" w:eastAsia="仿宋_GB2312"/>
                <w:szCs w:val="21"/>
              </w:rPr>
            </w:pPr>
          </w:p>
        </w:tc>
        <w:tc>
          <w:tcPr>
            <w:tcW w:w="1701" w:type="dxa"/>
            <w:vAlign w:val="center"/>
          </w:tcPr>
          <w:p>
            <w:pPr>
              <w:adjustRightInd w:val="0"/>
              <w:snapToGrid w:val="0"/>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55" w:hRule="atLeast"/>
        </w:trPr>
        <w:tc>
          <w:tcPr>
            <w:tcW w:w="766" w:type="dxa"/>
            <w:vAlign w:val="center"/>
          </w:tcPr>
          <w:p>
            <w:pPr>
              <w:adjustRightInd w:val="0"/>
              <w:snapToGrid w:val="0"/>
              <w:spacing w:line="280" w:lineRule="exact"/>
              <w:jc w:val="center"/>
              <w:rPr>
                <w:rFonts w:ascii="仿宋_GB2312" w:hAnsi="黑体" w:eastAsia="仿宋_GB2312"/>
                <w:szCs w:val="21"/>
              </w:rPr>
            </w:pPr>
            <w:r>
              <w:rPr>
                <w:rFonts w:hint="eastAsia" w:ascii="仿宋_GB2312" w:hAnsi="黑体" w:eastAsia="仿宋_GB2312"/>
                <w:szCs w:val="21"/>
              </w:rPr>
              <w:t>3</w:t>
            </w:r>
          </w:p>
        </w:tc>
        <w:tc>
          <w:tcPr>
            <w:tcW w:w="1985" w:type="dxa"/>
            <w:vAlign w:val="center"/>
          </w:tcPr>
          <w:p>
            <w:pPr>
              <w:adjustRightInd w:val="0"/>
              <w:snapToGrid w:val="0"/>
              <w:rPr>
                <w:rFonts w:ascii="Times New Roman" w:hAnsi="Times New Roman" w:eastAsia="仿宋_GB2312"/>
                <w:szCs w:val="21"/>
              </w:rPr>
            </w:pPr>
            <w:r>
              <w:rPr>
                <w:rFonts w:hint="eastAsia" w:ascii="Times New Roman" w:hAnsi="Times New Roman" w:eastAsia="仿宋_GB2312"/>
                <w:szCs w:val="21"/>
              </w:rPr>
              <w:t>未</w:t>
            </w:r>
            <w:r>
              <w:rPr>
                <w:rFonts w:ascii="Times New Roman" w:hAnsi="Times New Roman" w:eastAsia="仿宋_GB2312"/>
                <w:szCs w:val="21"/>
              </w:rPr>
              <w:t>执行</w:t>
            </w:r>
            <w:r>
              <w:rPr>
                <w:rFonts w:hint="eastAsia" w:ascii="Times New Roman" w:hAnsi="Times New Roman" w:eastAsia="仿宋_GB2312"/>
                <w:szCs w:val="21"/>
              </w:rPr>
              <w:t>井下爆破等高危</w:t>
            </w:r>
            <w:r>
              <w:rPr>
                <w:rFonts w:ascii="Times New Roman" w:hAnsi="Times New Roman" w:eastAsia="仿宋_GB2312"/>
                <w:szCs w:val="21"/>
              </w:rPr>
              <w:t>作业</w:t>
            </w:r>
            <w:r>
              <w:rPr>
                <w:rFonts w:hint="eastAsia" w:ascii="Times New Roman" w:hAnsi="Times New Roman" w:eastAsia="仿宋_GB2312"/>
                <w:szCs w:val="21"/>
              </w:rPr>
              <w:t>现场安全管理</w:t>
            </w:r>
            <w:r>
              <w:rPr>
                <w:rFonts w:ascii="Times New Roman" w:hAnsi="Times New Roman" w:eastAsia="仿宋_GB2312"/>
                <w:szCs w:val="21"/>
              </w:rPr>
              <w:t>制度</w:t>
            </w:r>
          </w:p>
        </w:tc>
        <w:tc>
          <w:tcPr>
            <w:tcW w:w="3827" w:type="dxa"/>
            <w:vAlign w:val="center"/>
          </w:tcPr>
          <w:p>
            <w:pPr>
              <w:adjustRightInd w:val="0"/>
              <w:snapToGrid w:val="0"/>
              <w:jc w:val="left"/>
              <w:rPr>
                <w:rFonts w:ascii="Times New Roman" w:hAnsi="Times New Roman" w:eastAsia="仿宋_GB2312"/>
                <w:szCs w:val="21"/>
              </w:rPr>
            </w:pPr>
            <w:r>
              <w:rPr>
                <w:rFonts w:ascii="Times New Roman" w:hAnsi="Times New Roman" w:eastAsia="仿宋_GB2312"/>
                <w:szCs w:val="21"/>
              </w:rPr>
              <w:t>《安全生产法》第四十条</w:t>
            </w:r>
            <w:r>
              <w:rPr>
                <w:rFonts w:hint="eastAsia" w:ascii="Times New Roman" w:hAnsi="Times New Roman" w:eastAsia="仿宋_GB2312"/>
                <w:szCs w:val="21"/>
              </w:rPr>
              <w:t>:“</w:t>
            </w:r>
            <w:r>
              <w:rPr>
                <w:rFonts w:ascii="Times New Roman" w:hAnsi="Times New Roman" w:eastAsia="仿宋_GB2312"/>
                <w:szCs w:val="21"/>
              </w:rPr>
              <w:t>生产经营单位进行爆破、吊装以及国务院安全生产监督管理部门会同国务院有关部门规定的其他危险作业，应当安排专门人员进行现场安全管理，确保操作规程的遵守和安全措施的落实。</w:t>
            </w:r>
            <w:r>
              <w:rPr>
                <w:rFonts w:hint="eastAsia" w:ascii="Times New Roman" w:hAnsi="Times New Roman" w:eastAsia="仿宋_GB2312"/>
                <w:szCs w:val="21"/>
              </w:rPr>
              <w:t>”</w:t>
            </w:r>
          </w:p>
        </w:tc>
        <w:tc>
          <w:tcPr>
            <w:tcW w:w="2693" w:type="dxa"/>
            <w:vAlign w:val="center"/>
          </w:tcPr>
          <w:p>
            <w:pPr>
              <w:adjustRightInd w:val="0"/>
              <w:snapToGrid w:val="0"/>
              <w:rPr>
                <w:rFonts w:ascii="Times New Roman" w:hAnsi="Times New Roman" w:eastAsia="仿宋_GB2312"/>
                <w:szCs w:val="21"/>
              </w:rPr>
            </w:pPr>
            <w:r>
              <w:rPr>
                <w:rFonts w:hint="eastAsia" w:ascii="Times New Roman" w:hAnsi="Times New Roman" w:eastAsia="仿宋_GB2312"/>
                <w:szCs w:val="21"/>
              </w:rPr>
              <w:t>1.查阅资料：危险作业审批材料，具体作业类型是否执行审批流程、授权审批人是否签字批准。</w:t>
            </w:r>
          </w:p>
          <w:p>
            <w:pPr>
              <w:adjustRightInd w:val="0"/>
              <w:snapToGrid w:val="0"/>
              <w:rPr>
                <w:rFonts w:ascii="Times New Roman" w:hAnsi="Times New Roman" w:eastAsia="仿宋_GB2312"/>
                <w:kern w:val="0"/>
                <w:szCs w:val="21"/>
              </w:rPr>
            </w:pPr>
            <w:r>
              <w:rPr>
                <w:rFonts w:ascii="Times New Roman" w:hAnsi="Times New Roman" w:eastAsia="仿宋_GB2312"/>
                <w:szCs w:val="21"/>
              </w:rPr>
              <w:t>2</w:t>
            </w:r>
            <w:r>
              <w:rPr>
                <w:rFonts w:hint="eastAsia" w:ascii="Times New Roman" w:hAnsi="Times New Roman" w:eastAsia="仿宋_GB2312"/>
                <w:szCs w:val="21"/>
              </w:rPr>
              <w:t>.现场检查：核查作业现场是否有专人进行管理监护，现场操作规程和安全控制措施是否规范。</w:t>
            </w:r>
          </w:p>
        </w:tc>
        <w:tc>
          <w:tcPr>
            <w:tcW w:w="3119" w:type="dxa"/>
            <w:vAlign w:val="center"/>
          </w:tcPr>
          <w:p>
            <w:pPr>
              <w:adjustRightInd w:val="0"/>
              <w:snapToGrid w:val="0"/>
              <w:rPr>
                <w:rFonts w:ascii="Times New Roman" w:hAnsi="Times New Roman" w:eastAsia="仿宋_GB2312"/>
                <w:szCs w:val="21"/>
              </w:rPr>
            </w:pPr>
            <w:r>
              <w:rPr>
                <w:rFonts w:ascii="Times New Roman" w:hAnsi="Times New Roman" w:eastAsia="仿宋_GB2312"/>
                <w:kern w:val="0"/>
                <w:szCs w:val="21"/>
              </w:rPr>
              <w:t>《安全生产法》第九十八条</w:t>
            </w:r>
            <w:r>
              <w:rPr>
                <w:rFonts w:hint="eastAsia" w:ascii="Times New Roman" w:hAnsi="Times New Roman" w:eastAsia="仿宋_GB2312"/>
                <w:kern w:val="0"/>
                <w:szCs w:val="21"/>
              </w:rPr>
              <w:t>第三项“进行爆破、吊装以及国务院安全生产监督管理部门会同国务院有关部门规定的其他危险作业，未安排专门人员进行现场安全管理的”。</w:t>
            </w:r>
          </w:p>
        </w:tc>
        <w:tc>
          <w:tcPr>
            <w:tcW w:w="1701" w:type="dxa"/>
            <w:vAlign w:val="center"/>
          </w:tcPr>
          <w:p>
            <w:pPr>
              <w:adjustRightInd w:val="0"/>
              <w:snapToGrid w:val="0"/>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55" w:hRule="atLeast"/>
        </w:trPr>
        <w:tc>
          <w:tcPr>
            <w:tcW w:w="766" w:type="dxa"/>
            <w:vAlign w:val="center"/>
          </w:tcPr>
          <w:p>
            <w:pPr>
              <w:adjustRightInd w:val="0"/>
              <w:snapToGrid w:val="0"/>
              <w:spacing w:line="280" w:lineRule="exact"/>
              <w:jc w:val="center"/>
              <w:rPr>
                <w:rFonts w:ascii="仿宋_GB2312" w:hAnsi="黑体" w:eastAsia="仿宋_GB2312"/>
                <w:szCs w:val="21"/>
              </w:rPr>
            </w:pPr>
            <w:r>
              <w:rPr>
                <w:rFonts w:hint="eastAsia" w:ascii="仿宋_GB2312" w:hAnsi="黑体" w:eastAsia="仿宋_GB2312"/>
                <w:szCs w:val="21"/>
              </w:rPr>
              <w:t>4</w:t>
            </w:r>
          </w:p>
        </w:tc>
        <w:tc>
          <w:tcPr>
            <w:tcW w:w="1985" w:type="dxa"/>
            <w:vAlign w:val="center"/>
          </w:tcPr>
          <w:p>
            <w:pPr>
              <w:adjustRightInd w:val="0"/>
              <w:snapToGrid w:val="0"/>
              <w:spacing w:line="280" w:lineRule="exact"/>
              <w:rPr>
                <w:rFonts w:ascii="仿宋_GB2312" w:eastAsia="仿宋_GB2312"/>
                <w:szCs w:val="21"/>
              </w:rPr>
            </w:pPr>
            <w:r>
              <w:rPr>
                <w:rFonts w:hint="eastAsia" w:ascii="仿宋_GB2312" w:eastAsia="仿宋_GB2312"/>
                <w:szCs w:val="21"/>
              </w:rPr>
              <w:t>竖井提升系统使用的防坠器未定期试验或检测检验</w:t>
            </w:r>
          </w:p>
        </w:tc>
        <w:tc>
          <w:tcPr>
            <w:tcW w:w="3827" w:type="dxa"/>
            <w:vAlign w:val="center"/>
          </w:tcPr>
          <w:p>
            <w:pPr>
              <w:adjustRightInd w:val="0"/>
              <w:snapToGrid w:val="0"/>
              <w:spacing w:line="280" w:lineRule="exact"/>
              <w:jc w:val="left"/>
              <w:rPr>
                <w:rFonts w:ascii="仿宋_GB2312" w:eastAsia="仿宋_GB2312"/>
                <w:szCs w:val="21"/>
              </w:rPr>
            </w:pPr>
            <w:r>
              <w:rPr>
                <w:rFonts w:hint="eastAsia" w:ascii="仿宋_GB2312" w:eastAsia="仿宋_GB2312"/>
                <w:szCs w:val="21"/>
              </w:rPr>
              <w:t>《安全生产法》</w:t>
            </w:r>
            <w:r>
              <w:rPr>
                <w:rFonts w:ascii="仿宋_GB2312" w:eastAsia="仿宋_GB2312"/>
                <w:szCs w:val="21"/>
              </w:rPr>
              <w:t>第三十三条</w:t>
            </w:r>
            <w:r>
              <w:rPr>
                <w:rFonts w:hint="eastAsia" w:ascii="仿宋_GB2312" w:eastAsia="仿宋_GB2312"/>
                <w:szCs w:val="21"/>
              </w:rPr>
              <w:t>“</w:t>
            </w:r>
            <w:r>
              <w:rPr>
                <w:rFonts w:ascii="仿宋_GB2312" w:eastAsia="仿宋_GB2312"/>
                <w:szCs w:val="21"/>
              </w:rPr>
              <w:t>安全设备的设计、制造、安装、使用、检测、维修、改造和报废，应当符合国家标准或者行业标准。生产经营单位必须对安全设备进行经常性维护、保养，并定期检测，保证正常运转。维护、保养、检测应当作好记录，并由有关人员签字。</w:t>
            </w:r>
            <w:r>
              <w:rPr>
                <w:rFonts w:hint="eastAsia" w:ascii="仿宋_GB2312" w:eastAsia="仿宋_GB2312"/>
                <w:szCs w:val="21"/>
              </w:rPr>
              <w:t>”</w:t>
            </w:r>
          </w:p>
          <w:p>
            <w:pPr>
              <w:adjustRightInd w:val="0"/>
              <w:snapToGrid w:val="0"/>
              <w:spacing w:line="280" w:lineRule="exact"/>
              <w:jc w:val="left"/>
              <w:rPr>
                <w:rFonts w:ascii="仿宋_GB2312" w:eastAsia="仿宋_GB2312"/>
                <w:szCs w:val="21"/>
              </w:rPr>
            </w:pPr>
            <w:r>
              <w:rPr>
                <w:rFonts w:hint="eastAsia" w:ascii="仿宋_GB2312" w:eastAsia="仿宋_GB2312"/>
                <w:szCs w:val="21"/>
              </w:rPr>
              <w:t>《金属非金属矿山安全规程》（</w:t>
            </w:r>
            <w:r>
              <w:rPr>
                <w:rFonts w:ascii="仿宋_GB2312" w:eastAsia="仿宋_GB2312"/>
                <w:szCs w:val="21"/>
              </w:rPr>
              <w:t>GB 16423-2006）第6.3.4.12</w:t>
            </w:r>
            <w:r>
              <w:rPr>
                <w:rFonts w:hint="eastAsia" w:ascii="仿宋_GB2312" w:eastAsia="仿宋_GB2312"/>
                <w:szCs w:val="21"/>
              </w:rPr>
              <w:t>条</w:t>
            </w:r>
            <w:r>
              <w:rPr>
                <w:rFonts w:ascii="仿宋_GB2312" w:eastAsia="仿宋_GB2312"/>
                <w:szCs w:val="21"/>
              </w:rPr>
              <w:t>：</w:t>
            </w:r>
            <w:r>
              <w:rPr>
                <w:rFonts w:hint="eastAsia" w:ascii="仿宋_GB2312" w:eastAsia="仿宋_GB2312"/>
                <w:szCs w:val="21"/>
              </w:rPr>
              <w:t>“</w:t>
            </w:r>
            <w:r>
              <w:rPr>
                <w:rFonts w:ascii="仿宋_GB2312" w:eastAsia="仿宋_GB2312"/>
                <w:szCs w:val="21"/>
              </w:rPr>
              <w:t>在用竖井罐笼的防坠器，每半年应进行一次清洗和不脱钩试验，每年进行一次脱钩试验。</w:t>
            </w:r>
            <w:r>
              <w:rPr>
                <w:rFonts w:hint="eastAsia" w:ascii="仿宋_GB2312" w:eastAsia="仿宋_GB2312"/>
                <w:szCs w:val="21"/>
              </w:rPr>
              <w:t>”</w:t>
            </w:r>
          </w:p>
          <w:p>
            <w:pPr>
              <w:adjustRightInd w:val="0"/>
              <w:snapToGrid w:val="0"/>
              <w:spacing w:line="280" w:lineRule="exact"/>
              <w:jc w:val="left"/>
              <w:rPr>
                <w:rFonts w:ascii="仿宋_GB2312" w:eastAsia="仿宋_GB2312"/>
                <w:szCs w:val="21"/>
              </w:rPr>
            </w:pPr>
            <w:r>
              <w:rPr>
                <w:rFonts w:hint="eastAsia" w:ascii="仿宋_GB2312" w:eastAsia="仿宋_GB2312"/>
                <w:szCs w:val="21"/>
              </w:rPr>
              <w:t>《金属非金属矿山竖井提升系统防坠器安全性能检测检验规范》（</w:t>
            </w:r>
            <w:r>
              <w:rPr>
                <w:rFonts w:ascii="仿宋_GB2312" w:eastAsia="仿宋_GB2312"/>
                <w:szCs w:val="21"/>
              </w:rPr>
              <w:t>AQ 2019-2008）第8.1条：</w:t>
            </w:r>
            <w:r>
              <w:rPr>
                <w:rFonts w:hint="eastAsia" w:ascii="仿宋_GB2312" w:eastAsia="仿宋_GB2312"/>
                <w:szCs w:val="21"/>
              </w:rPr>
              <w:t>“</w:t>
            </w:r>
            <w:r>
              <w:rPr>
                <w:rFonts w:ascii="仿宋_GB2312" w:eastAsia="仿宋_GB2312"/>
                <w:szCs w:val="21"/>
              </w:rPr>
              <w:t>安装使用的防坠器的定期检验周期为一年</w:t>
            </w:r>
            <w:r>
              <w:rPr>
                <w:rFonts w:hint="eastAsia" w:ascii="仿宋_GB2312" w:eastAsia="仿宋_GB2312"/>
                <w:szCs w:val="21"/>
              </w:rPr>
              <w:t>。”</w:t>
            </w:r>
          </w:p>
        </w:tc>
        <w:tc>
          <w:tcPr>
            <w:tcW w:w="2693" w:type="dxa"/>
            <w:vAlign w:val="center"/>
          </w:tcPr>
          <w:p>
            <w:pPr>
              <w:adjustRightInd w:val="0"/>
              <w:snapToGrid w:val="0"/>
              <w:spacing w:line="280" w:lineRule="exact"/>
              <w:jc w:val="left"/>
              <w:rPr>
                <w:rFonts w:ascii="仿宋_GB2312" w:eastAsia="仿宋_GB2312"/>
                <w:szCs w:val="21"/>
              </w:rPr>
            </w:pPr>
            <w:r>
              <w:rPr>
                <w:rFonts w:hint="eastAsia" w:ascii="Times New Roman" w:hAnsi="Times New Roman" w:eastAsia="仿宋_GB2312"/>
                <w:szCs w:val="21"/>
              </w:rPr>
              <w:t>1.查阅资料：</w:t>
            </w:r>
            <w:r>
              <w:rPr>
                <w:rFonts w:hint="eastAsia" w:ascii="仿宋_GB2312" w:eastAsia="仿宋_GB2312"/>
                <w:szCs w:val="21"/>
              </w:rPr>
              <w:t>定期试验或检测检验的报告是否满足要求。</w:t>
            </w:r>
          </w:p>
          <w:p>
            <w:pPr>
              <w:adjustRightInd w:val="0"/>
              <w:snapToGrid w:val="0"/>
              <w:spacing w:line="280" w:lineRule="exact"/>
              <w:jc w:val="left"/>
              <w:rPr>
                <w:rFonts w:ascii="仿宋_GB2312" w:eastAsia="仿宋_GB2312"/>
                <w:szCs w:val="21"/>
              </w:rPr>
            </w:pPr>
            <w:r>
              <w:rPr>
                <w:rFonts w:hint="eastAsia" w:ascii="仿宋_GB2312" w:eastAsia="仿宋_GB2312"/>
                <w:szCs w:val="21"/>
              </w:rPr>
              <w:t>2.现场检查：核查竖井罐笼的防坠器。</w:t>
            </w:r>
          </w:p>
        </w:tc>
        <w:tc>
          <w:tcPr>
            <w:tcW w:w="3119" w:type="dxa"/>
            <w:vAlign w:val="center"/>
          </w:tcPr>
          <w:p>
            <w:pPr>
              <w:adjustRightInd w:val="0"/>
              <w:snapToGrid w:val="0"/>
              <w:spacing w:line="280" w:lineRule="exact"/>
              <w:jc w:val="left"/>
              <w:rPr>
                <w:rFonts w:ascii="仿宋_GB2312" w:eastAsia="仿宋_GB2312"/>
                <w:szCs w:val="21"/>
              </w:rPr>
            </w:pPr>
            <w:r>
              <w:rPr>
                <w:rFonts w:hint="eastAsia" w:ascii="仿宋_GB2312" w:eastAsia="仿宋_GB2312"/>
                <w:szCs w:val="21"/>
              </w:rPr>
              <w:t>《安全生产法》第九十六条第二项、第三项：“</w:t>
            </w:r>
            <w:r>
              <w:rPr>
                <w:rFonts w:ascii="仿宋_GB2312" w:eastAsia="仿宋_GB2312"/>
                <w:szCs w:val="21"/>
              </w:rPr>
              <w:t>未对安全设备进行经常性维护、保养和定期检测的；</w:t>
            </w:r>
          </w:p>
          <w:p>
            <w:pPr>
              <w:adjustRightInd w:val="0"/>
              <w:snapToGrid w:val="0"/>
              <w:spacing w:line="280" w:lineRule="exact"/>
              <w:jc w:val="left"/>
              <w:rPr>
                <w:rFonts w:ascii="仿宋_GB2312" w:eastAsia="仿宋_GB2312"/>
                <w:szCs w:val="21"/>
              </w:rPr>
            </w:pPr>
            <w:r>
              <w:rPr>
                <w:rFonts w:ascii="仿宋_GB2312" w:eastAsia="仿宋_GB2312"/>
                <w:szCs w:val="21"/>
              </w:rPr>
              <w:t>未为从业人员提供符合国家标准或者行业标准的劳动防护用品的</w:t>
            </w:r>
            <w:r>
              <w:rPr>
                <w:rFonts w:hint="eastAsia" w:ascii="仿宋_GB2312" w:eastAsia="仿宋_GB2312"/>
                <w:szCs w:val="21"/>
              </w:rPr>
              <w:t>”。</w:t>
            </w:r>
          </w:p>
          <w:p>
            <w:pPr>
              <w:adjustRightInd w:val="0"/>
              <w:snapToGrid w:val="0"/>
              <w:spacing w:line="280" w:lineRule="exact"/>
              <w:jc w:val="left"/>
              <w:rPr>
                <w:rFonts w:ascii="仿宋_GB2312" w:eastAsia="仿宋_GB2312"/>
                <w:szCs w:val="21"/>
              </w:rPr>
            </w:pPr>
          </w:p>
        </w:tc>
        <w:tc>
          <w:tcPr>
            <w:tcW w:w="1701" w:type="dxa"/>
            <w:vAlign w:val="center"/>
          </w:tcPr>
          <w:p>
            <w:pPr>
              <w:adjustRightInd w:val="0"/>
              <w:snapToGrid w:val="0"/>
              <w:jc w:val="left"/>
              <w:rPr>
                <w:rFonts w:ascii="仿宋_GB2312" w:eastAsia="仿宋_GB2312"/>
                <w:szCs w:val="21"/>
              </w:rPr>
            </w:pPr>
          </w:p>
        </w:tc>
      </w:tr>
    </w:tbl>
    <w:p>
      <w:pPr>
        <w:spacing w:line="540" w:lineRule="exact"/>
        <w:ind w:firstLine="640" w:firstLineChars="200"/>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 w:hAnsi="仿宋" w:eastAsia="仿宋" w:cs="仿宋"/>
          <w:sz w:val="32"/>
          <w:szCs w:val="32"/>
        </w:rPr>
        <w:sectPr>
          <w:footerReference r:id="rId3" w:type="default"/>
          <w:type w:val="continuous"/>
          <w:pgSz w:w="16838" w:h="11906" w:orient="landscape"/>
          <w:pgMar w:top="1800" w:right="1440" w:bottom="1800" w:left="1440" w:header="851" w:footer="992" w:gutter="0"/>
          <w:cols w:space="425" w:num="1"/>
          <w:docGrid w:type="lines" w:linePitch="312" w:charSpace="0"/>
        </w:sectPr>
      </w:pPr>
    </w:p>
    <w:p>
      <w:pPr>
        <w:jc w:val="left"/>
        <w:rPr>
          <w:rFonts w:ascii="黑体" w:hAnsi="黑体" w:eastAsia="黑体"/>
          <w:sz w:val="32"/>
          <w:szCs w:val="32"/>
        </w:rPr>
      </w:pPr>
      <w:r>
        <w:rPr>
          <w:rFonts w:hint="eastAsia" w:ascii="黑体" w:hAnsi="黑体" w:eastAsia="黑体"/>
          <w:sz w:val="32"/>
          <w:szCs w:val="32"/>
        </w:rPr>
        <w:t>附件2</w:t>
      </w:r>
    </w:p>
    <w:p>
      <w:pPr>
        <w:jc w:val="center"/>
        <w:rPr>
          <w:rFonts w:ascii="方正小标宋简体" w:eastAsia="方正小标宋简体"/>
          <w:sz w:val="44"/>
          <w:szCs w:val="44"/>
        </w:rPr>
      </w:pPr>
      <w:r>
        <w:rPr>
          <w:rFonts w:hint="eastAsia" w:ascii="方正小标宋简体" w:eastAsia="方正小标宋简体"/>
          <w:sz w:val="44"/>
          <w:szCs w:val="44"/>
        </w:rPr>
        <w:t>重点抽查名单</w:t>
      </w:r>
    </w:p>
    <w:tbl>
      <w:tblPr>
        <w:tblStyle w:val="5"/>
        <w:tblW w:w="8131" w:type="dxa"/>
        <w:tblInd w:w="93" w:type="dxa"/>
        <w:tblLayout w:type="fixed"/>
        <w:tblCellMar>
          <w:top w:w="0" w:type="dxa"/>
          <w:left w:w="108" w:type="dxa"/>
          <w:bottom w:w="0" w:type="dxa"/>
          <w:right w:w="108" w:type="dxa"/>
        </w:tblCellMar>
      </w:tblPr>
      <w:tblGrid>
        <w:gridCol w:w="870"/>
        <w:gridCol w:w="1282"/>
        <w:gridCol w:w="5979"/>
      </w:tblGrid>
      <w:tr>
        <w:tblPrEx>
          <w:tblLayout w:type="fixed"/>
          <w:tblCellMar>
            <w:top w:w="0" w:type="dxa"/>
            <w:left w:w="108" w:type="dxa"/>
            <w:bottom w:w="0" w:type="dxa"/>
            <w:right w:w="108" w:type="dxa"/>
          </w:tblCellMar>
        </w:tblPrEx>
        <w:trPr>
          <w:trHeight w:val="556" w:hRule="exact"/>
          <w:tblHead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8"/>
                <w:szCs w:val="28"/>
              </w:rPr>
            </w:pPr>
            <w:r>
              <w:rPr>
                <w:rFonts w:hint="eastAsia" w:ascii="仿宋_GB2312" w:hAnsi="Times New Roman" w:eastAsia="仿宋_GB2312"/>
                <w:color w:val="000000"/>
                <w:kern w:val="0"/>
                <w:sz w:val="28"/>
                <w:szCs w:val="28"/>
              </w:rPr>
              <w:t>序号</w:t>
            </w:r>
          </w:p>
        </w:tc>
        <w:tc>
          <w:tcPr>
            <w:tcW w:w="12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8"/>
                <w:szCs w:val="28"/>
              </w:rPr>
            </w:pPr>
            <w:r>
              <w:rPr>
                <w:rFonts w:hint="eastAsia" w:ascii="仿宋_GB2312" w:hAnsi="Times New Roman" w:eastAsia="仿宋_GB2312"/>
                <w:color w:val="000000"/>
                <w:kern w:val="0"/>
                <w:sz w:val="28"/>
                <w:szCs w:val="28"/>
              </w:rPr>
              <w:t>地区</w:t>
            </w:r>
          </w:p>
        </w:tc>
        <w:tc>
          <w:tcPr>
            <w:tcW w:w="59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重点抽查县(区)</w:t>
            </w:r>
          </w:p>
        </w:tc>
      </w:tr>
      <w:tr>
        <w:tblPrEx>
          <w:tblLayout w:type="fixed"/>
          <w:tblCellMar>
            <w:top w:w="0" w:type="dxa"/>
            <w:left w:w="108" w:type="dxa"/>
            <w:bottom w:w="0" w:type="dxa"/>
            <w:right w:w="108" w:type="dxa"/>
          </w:tblCellMar>
        </w:tblPrEx>
        <w:trPr>
          <w:trHeight w:val="556" w:hRule="exact"/>
        </w:trPr>
        <w:tc>
          <w:tcPr>
            <w:tcW w:w="8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8"/>
                <w:szCs w:val="28"/>
              </w:rPr>
            </w:pPr>
            <w:r>
              <w:rPr>
                <w:rFonts w:hint="eastAsia" w:ascii="Times New Roman" w:hAnsi="Times New Roman"/>
                <w:color w:val="000000"/>
                <w:kern w:val="0"/>
                <w:sz w:val="28"/>
                <w:szCs w:val="28"/>
              </w:rPr>
              <w:t>1</w:t>
            </w: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8"/>
                <w:szCs w:val="28"/>
              </w:rPr>
            </w:pPr>
            <w:r>
              <w:rPr>
                <w:rFonts w:hint="eastAsia" w:ascii="仿宋_GB2312" w:hAnsi="Times New Roman" w:eastAsia="仿宋_GB2312"/>
                <w:color w:val="000000"/>
                <w:kern w:val="0"/>
                <w:sz w:val="28"/>
                <w:szCs w:val="28"/>
              </w:rPr>
              <w:t>河北</w:t>
            </w:r>
          </w:p>
        </w:tc>
        <w:tc>
          <w:tcPr>
            <w:tcW w:w="597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邯郸市武安市</w:t>
            </w:r>
          </w:p>
        </w:tc>
      </w:tr>
      <w:tr>
        <w:tblPrEx>
          <w:tblLayout w:type="fixed"/>
          <w:tblCellMar>
            <w:top w:w="0" w:type="dxa"/>
            <w:left w:w="108" w:type="dxa"/>
            <w:bottom w:w="0" w:type="dxa"/>
            <w:right w:w="108" w:type="dxa"/>
          </w:tblCellMar>
        </w:tblPrEx>
        <w:trPr>
          <w:trHeight w:val="556" w:hRule="exact"/>
        </w:trPr>
        <w:tc>
          <w:tcPr>
            <w:tcW w:w="8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8"/>
                <w:szCs w:val="28"/>
              </w:rPr>
            </w:pPr>
            <w:r>
              <w:rPr>
                <w:rFonts w:hint="eastAsia" w:ascii="Times New Roman" w:hAnsi="Times New Roman"/>
                <w:color w:val="000000"/>
                <w:kern w:val="0"/>
                <w:sz w:val="28"/>
                <w:szCs w:val="28"/>
              </w:rPr>
              <w:t>2</w:t>
            </w: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8"/>
                <w:szCs w:val="28"/>
              </w:rPr>
            </w:pPr>
            <w:r>
              <w:rPr>
                <w:rFonts w:hint="eastAsia" w:ascii="仿宋_GB2312" w:hAnsi="Times New Roman" w:eastAsia="仿宋_GB2312"/>
                <w:color w:val="000000"/>
                <w:kern w:val="0"/>
                <w:sz w:val="28"/>
                <w:szCs w:val="28"/>
              </w:rPr>
              <w:t>山西</w:t>
            </w:r>
          </w:p>
        </w:tc>
        <w:tc>
          <w:tcPr>
            <w:tcW w:w="597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运城市垣曲县</w:t>
            </w:r>
          </w:p>
        </w:tc>
      </w:tr>
      <w:tr>
        <w:tblPrEx>
          <w:tblLayout w:type="fixed"/>
          <w:tblCellMar>
            <w:top w:w="0" w:type="dxa"/>
            <w:left w:w="108" w:type="dxa"/>
            <w:bottom w:w="0" w:type="dxa"/>
            <w:right w:w="108" w:type="dxa"/>
          </w:tblCellMar>
        </w:tblPrEx>
        <w:trPr>
          <w:trHeight w:val="556" w:hRule="exact"/>
        </w:trPr>
        <w:tc>
          <w:tcPr>
            <w:tcW w:w="8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8"/>
                <w:szCs w:val="28"/>
              </w:rPr>
            </w:pPr>
            <w:r>
              <w:rPr>
                <w:rFonts w:hint="eastAsia" w:ascii="Times New Roman" w:hAnsi="Times New Roman"/>
                <w:color w:val="000000"/>
                <w:kern w:val="0"/>
                <w:sz w:val="28"/>
                <w:szCs w:val="28"/>
              </w:rPr>
              <w:t>3</w:t>
            </w: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8"/>
                <w:szCs w:val="28"/>
              </w:rPr>
            </w:pPr>
            <w:r>
              <w:rPr>
                <w:rFonts w:hint="eastAsia" w:ascii="仿宋_GB2312" w:hAnsi="Times New Roman" w:eastAsia="仿宋_GB2312"/>
                <w:color w:val="000000"/>
                <w:kern w:val="0"/>
                <w:sz w:val="28"/>
                <w:szCs w:val="28"/>
              </w:rPr>
              <w:t>内蒙古</w:t>
            </w:r>
          </w:p>
        </w:tc>
        <w:tc>
          <w:tcPr>
            <w:tcW w:w="597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赤峰市克什克腾旗</w:t>
            </w:r>
          </w:p>
        </w:tc>
      </w:tr>
      <w:tr>
        <w:tblPrEx>
          <w:tblLayout w:type="fixed"/>
          <w:tblCellMar>
            <w:top w:w="0" w:type="dxa"/>
            <w:left w:w="108" w:type="dxa"/>
            <w:bottom w:w="0" w:type="dxa"/>
            <w:right w:w="108" w:type="dxa"/>
          </w:tblCellMar>
        </w:tblPrEx>
        <w:trPr>
          <w:trHeight w:val="556" w:hRule="exact"/>
        </w:trPr>
        <w:tc>
          <w:tcPr>
            <w:tcW w:w="8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8"/>
                <w:szCs w:val="28"/>
              </w:rPr>
            </w:pPr>
            <w:r>
              <w:rPr>
                <w:rFonts w:hint="eastAsia" w:ascii="Times New Roman" w:hAnsi="Times New Roman"/>
                <w:color w:val="000000"/>
                <w:kern w:val="0"/>
                <w:sz w:val="28"/>
                <w:szCs w:val="28"/>
              </w:rPr>
              <w:t>4</w:t>
            </w: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8"/>
                <w:szCs w:val="28"/>
              </w:rPr>
            </w:pPr>
            <w:r>
              <w:rPr>
                <w:rFonts w:hint="eastAsia" w:ascii="仿宋_GB2312" w:hAnsi="Times New Roman" w:eastAsia="仿宋_GB2312"/>
                <w:color w:val="000000"/>
                <w:kern w:val="0"/>
                <w:sz w:val="28"/>
                <w:szCs w:val="28"/>
              </w:rPr>
              <w:t>辽宁</w:t>
            </w:r>
          </w:p>
        </w:tc>
        <w:tc>
          <w:tcPr>
            <w:tcW w:w="597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本溪市溪湖区、垣仁县</w:t>
            </w:r>
          </w:p>
        </w:tc>
      </w:tr>
      <w:tr>
        <w:tblPrEx>
          <w:tblLayout w:type="fixed"/>
          <w:tblCellMar>
            <w:top w:w="0" w:type="dxa"/>
            <w:left w:w="108" w:type="dxa"/>
            <w:bottom w:w="0" w:type="dxa"/>
            <w:right w:w="108" w:type="dxa"/>
          </w:tblCellMar>
        </w:tblPrEx>
        <w:trPr>
          <w:trHeight w:val="556" w:hRule="exact"/>
        </w:trPr>
        <w:tc>
          <w:tcPr>
            <w:tcW w:w="8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8"/>
                <w:szCs w:val="28"/>
              </w:rPr>
            </w:pPr>
            <w:r>
              <w:rPr>
                <w:rFonts w:hint="eastAsia" w:ascii="Times New Roman" w:hAnsi="Times New Roman"/>
                <w:color w:val="000000"/>
                <w:kern w:val="0"/>
                <w:sz w:val="28"/>
                <w:szCs w:val="28"/>
              </w:rPr>
              <w:t>5</w:t>
            </w: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8"/>
                <w:szCs w:val="28"/>
              </w:rPr>
            </w:pPr>
            <w:r>
              <w:rPr>
                <w:rFonts w:hint="eastAsia" w:ascii="仿宋_GB2312" w:hAnsi="Times New Roman" w:eastAsia="仿宋_GB2312"/>
                <w:color w:val="000000"/>
                <w:kern w:val="0"/>
                <w:sz w:val="28"/>
                <w:szCs w:val="28"/>
              </w:rPr>
              <w:t>吉林</w:t>
            </w:r>
          </w:p>
        </w:tc>
        <w:tc>
          <w:tcPr>
            <w:tcW w:w="597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白山市浑江区</w:t>
            </w:r>
          </w:p>
        </w:tc>
      </w:tr>
      <w:tr>
        <w:tblPrEx>
          <w:tblLayout w:type="fixed"/>
          <w:tblCellMar>
            <w:top w:w="0" w:type="dxa"/>
            <w:left w:w="108" w:type="dxa"/>
            <w:bottom w:w="0" w:type="dxa"/>
            <w:right w:w="108" w:type="dxa"/>
          </w:tblCellMar>
        </w:tblPrEx>
        <w:trPr>
          <w:trHeight w:val="556" w:hRule="exact"/>
        </w:trPr>
        <w:tc>
          <w:tcPr>
            <w:tcW w:w="8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8"/>
                <w:szCs w:val="28"/>
              </w:rPr>
            </w:pPr>
            <w:r>
              <w:rPr>
                <w:rFonts w:hint="eastAsia" w:ascii="Times New Roman" w:hAnsi="Times New Roman"/>
                <w:color w:val="000000"/>
                <w:kern w:val="0"/>
                <w:sz w:val="28"/>
                <w:szCs w:val="28"/>
              </w:rPr>
              <w:t>6</w:t>
            </w: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8"/>
                <w:szCs w:val="28"/>
              </w:rPr>
            </w:pPr>
            <w:r>
              <w:rPr>
                <w:rFonts w:hint="eastAsia" w:ascii="仿宋_GB2312" w:hAnsi="Times New Roman" w:eastAsia="仿宋_GB2312"/>
                <w:color w:val="000000"/>
                <w:kern w:val="0"/>
                <w:sz w:val="28"/>
                <w:szCs w:val="28"/>
              </w:rPr>
              <w:t>安徽</w:t>
            </w:r>
          </w:p>
        </w:tc>
        <w:tc>
          <w:tcPr>
            <w:tcW w:w="597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合肥市庐江县</w:t>
            </w:r>
          </w:p>
        </w:tc>
      </w:tr>
      <w:tr>
        <w:tblPrEx>
          <w:tblLayout w:type="fixed"/>
          <w:tblCellMar>
            <w:top w:w="0" w:type="dxa"/>
            <w:left w:w="108" w:type="dxa"/>
            <w:bottom w:w="0" w:type="dxa"/>
            <w:right w:w="108" w:type="dxa"/>
          </w:tblCellMar>
        </w:tblPrEx>
        <w:trPr>
          <w:trHeight w:val="556" w:hRule="exact"/>
        </w:trPr>
        <w:tc>
          <w:tcPr>
            <w:tcW w:w="8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8"/>
                <w:szCs w:val="28"/>
              </w:rPr>
            </w:pPr>
            <w:r>
              <w:rPr>
                <w:rFonts w:hint="eastAsia" w:ascii="Times New Roman" w:hAnsi="Times New Roman"/>
                <w:color w:val="000000"/>
                <w:kern w:val="0"/>
                <w:sz w:val="28"/>
                <w:szCs w:val="28"/>
              </w:rPr>
              <w:t>7</w:t>
            </w: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8"/>
                <w:szCs w:val="28"/>
              </w:rPr>
            </w:pPr>
            <w:r>
              <w:rPr>
                <w:rFonts w:hint="eastAsia" w:ascii="仿宋_GB2312" w:hAnsi="Times New Roman" w:eastAsia="仿宋_GB2312"/>
                <w:color w:val="000000"/>
                <w:kern w:val="0"/>
                <w:sz w:val="28"/>
                <w:szCs w:val="28"/>
              </w:rPr>
              <w:t>江西</w:t>
            </w:r>
          </w:p>
        </w:tc>
        <w:tc>
          <w:tcPr>
            <w:tcW w:w="597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赣州市大余县</w:t>
            </w:r>
          </w:p>
        </w:tc>
      </w:tr>
      <w:tr>
        <w:tblPrEx>
          <w:tblLayout w:type="fixed"/>
          <w:tblCellMar>
            <w:top w:w="0" w:type="dxa"/>
            <w:left w:w="108" w:type="dxa"/>
            <w:bottom w:w="0" w:type="dxa"/>
            <w:right w:w="108" w:type="dxa"/>
          </w:tblCellMar>
        </w:tblPrEx>
        <w:trPr>
          <w:trHeight w:val="556" w:hRule="exact"/>
        </w:trPr>
        <w:tc>
          <w:tcPr>
            <w:tcW w:w="8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8"/>
                <w:szCs w:val="28"/>
              </w:rPr>
            </w:pPr>
            <w:r>
              <w:rPr>
                <w:rFonts w:hint="eastAsia" w:ascii="Times New Roman" w:hAnsi="Times New Roman"/>
                <w:color w:val="000000"/>
                <w:kern w:val="0"/>
                <w:sz w:val="28"/>
                <w:szCs w:val="28"/>
              </w:rPr>
              <w:t>8</w:t>
            </w: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8"/>
                <w:szCs w:val="28"/>
              </w:rPr>
            </w:pPr>
            <w:r>
              <w:rPr>
                <w:rFonts w:hint="eastAsia" w:ascii="仿宋_GB2312" w:hAnsi="Times New Roman" w:eastAsia="仿宋_GB2312"/>
                <w:color w:val="000000"/>
                <w:kern w:val="0"/>
                <w:sz w:val="28"/>
                <w:szCs w:val="28"/>
              </w:rPr>
              <w:t>山东</w:t>
            </w:r>
          </w:p>
        </w:tc>
        <w:tc>
          <w:tcPr>
            <w:tcW w:w="597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济南市莱芜区</w:t>
            </w:r>
          </w:p>
        </w:tc>
      </w:tr>
      <w:tr>
        <w:tblPrEx>
          <w:tblLayout w:type="fixed"/>
          <w:tblCellMar>
            <w:top w:w="0" w:type="dxa"/>
            <w:left w:w="108" w:type="dxa"/>
            <w:bottom w:w="0" w:type="dxa"/>
            <w:right w:w="108" w:type="dxa"/>
          </w:tblCellMar>
        </w:tblPrEx>
        <w:trPr>
          <w:trHeight w:val="556" w:hRule="exact"/>
        </w:trPr>
        <w:tc>
          <w:tcPr>
            <w:tcW w:w="8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8"/>
                <w:szCs w:val="28"/>
              </w:rPr>
            </w:pPr>
            <w:r>
              <w:rPr>
                <w:rFonts w:hint="eastAsia" w:ascii="Times New Roman" w:hAnsi="Times New Roman"/>
                <w:color w:val="000000"/>
                <w:kern w:val="0"/>
                <w:sz w:val="28"/>
                <w:szCs w:val="28"/>
              </w:rPr>
              <w:t>9</w:t>
            </w: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8"/>
                <w:szCs w:val="28"/>
              </w:rPr>
            </w:pPr>
            <w:r>
              <w:rPr>
                <w:rFonts w:hint="eastAsia" w:ascii="仿宋_GB2312" w:hAnsi="Times New Roman" w:eastAsia="仿宋_GB2312"/>
                <w:color w:val="000000"/>
                <w:kern w:val="0"/>
                <w:sz w:val="28"/>
                <w:szCs w:val="28"/>
              </w:rPr>
              <w:t>河南</w:t>
            </w:r>
          </w:p>
        </w:tc>
        <w:tc>
          <w:tcPr>
            <w:tcW w:w="597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洛阳市栾川县、嵩县</w:t>
            </w:r>
          </w:p>
        </w:tc>
      </w:tr>
      <w:tr>
        <w:tblPrEx>
          <w:tblLayout w:type="fixed"/>
          <w:tblCellMar>
            <w:top w:w="0" w:type="dxa"/>
            <w:left w:w="108" w:type="dxa"/>
            <w:bottom w:w="0" w:type="dxa"/>
            <w:right w:w="108" w:type="dxa"/>
          </w:tblCellMar>
        </w:tblPrEx>
        <w:trPr>
          <w:trHeight w:val="556" w:hRule="exact"/>
        </w:trPr>
        <w:tc>
          <w:tcPr>
            <w:tcW w:w="8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8"/>
                <w:szCs w:val="28"/>
              </w:rPr>
            </w:pPr>
            <w:r>
              <w:rPr>
                <w:rFonts w:hint="eastAsia" w:ascii="Times New Roman" w:hAnsi="Times New Roman"/>
                <w:color w:val="000000"/>
                <w:kern w:val="0"/>
                <w:sz w:val="28"/>
                <w:szCs w:val="28"/>
              </w:rPr>
              <w:t>10</w:t>
            </w: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8"/>
                <w:szCs w:val="28"/>
              </w:rPr>
            </w:pPr>
            <w:r>
              <w:rPr>
                <w:rFonts w:hint="eastAsia" w:ascii="仿宋_GB2312" w:hAnsi="Times New Roman" w:eastAsia="仿宋_GB2312"/>
                <w:color w:val="000000"/>
                <w:kern w:val="0"/>
                <w:sz w:val="28"/>
                <w:szCs w:val="28"/>
              </w:rPr>
              <w:t>湖北</w:t>
            </w:r>
          </w:p>
        </w:tc>
        <w:tc>
          <w:tcPr>
            <w:tcW w:w="597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宜昌市长阳县、兴山县</w:t>
            </w:r>
          </w:p>
        </w:tc>
      </w:tr>
      <w:tr>
        <w:tblPrEx>
          <w:tblLayout w:type="fixed"/>
          <w:tblCellMar>
            <w:top w:w="0" w:type="dxa"/>
            <w:left w:w="108" w:type="dxa"/>
            <w:bottom w:w="0" w:type="dxa"/>
            <w:right w:w="108" w:type="dxa"/>
          </w:tblCellMar>
        </w:tblPrEx>
        <w:trPr>
          <w:trHeight w:val="556" w:hRule="exact"/>
        </w:trPr>
        <w:tc>
          <w:tcPr>
            <w:tcW w:w="8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8"/>
                <w:szCs w:val="28"/>
              </w:rPr>
            </w:pPr>
            <w:r>
              <w:rPr>
                <w:rFonts w:hint="eastAsia" w:ascii="Times New Roman" w:hAnsi="Times New Roman"/>
                <w:color w:val="000000"/>
                <w:kern w:val="0"/>
                <w:sz w:val="28"/>
                <w:szCs w:val="28"/>
              </w:rPr>
              <w:t>11</w:t>
            </w: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8"/>
                <w:szCs w:val="28"/>
              </w:rPr>
            </w:pPr>
            <w:r>
              <w:rPr>
                <w:rFonts w:hint="eastAsia" w:ascii="仿宋_GB2312" w:hAnsi="Times New Roman" w:eastAsia="仿宋_GB2312"/>
                <w:color w:val="000000"/>
                <w:kern w:val="0"/>
                <w:sz w:val="28"/>
                <w:szCs w:val="28"/>
              </w:rPr>
              <w:t>湖南</w:t>
            </w:r>
          </w:p>
        </w:tc>
        <w:tc>
          <w:tcPr>
            <w:tcW w:w="597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岳阳市平江县</w:t>
            </w:r>
          </w:p>
        </w:tc>
      </w:tr>
      <w:tr>
        <w:tblPrEx>
          <w:tblLayout w:type="fixed"/>
          <w:tblCellMar>
            <w:top w:w="0" w:type="dxa"/>
            <w:left w:w="108" w:type="dxa"/>
            <w:bottom w:w="0" w:type="dxa"/>
            <w:right w:w="108" w:type="dxa"/>
          </w:tblCellMar>
        </w:tblPrEx>
        <w:trPr>
          <w:trHeight w:val="556" w:hRule="exact"/>
        </w:trPr>
        <w:tc>
          <w:tcPr>
            <w:tcW w:w="8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8"/>
                <w:szCs w:val="28"/>
              </w:rPr>
            </w:pPr>
            <w:r>
              <w:rPr>
                <w:rFonts w:hint="eastAsia" w:ascii="Times New Roman" w:hAnsi="Times New Roman"/>
                <w:color w:val="000000"/>
                <w:kern w:val="0"/>
                <w:sz w:val="28"/>
                <w:szCs w:val="28"/>
              </w:rPr>
              <w:t>12</w:t>
            </w: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8"/>
                <w:szCs w:val="28"/>
              </w:rPr>
            </w:pPr>
            <w:r>
              <w:rPr>
                <w:rFonts w:hint="eastAsia" w:ascii="仿宋_GB2312" w:hAnsi="Times New Roman" w:eastAsia="仿宋_GB2312"/>
                <w:color w:val="000000"/>
                <w:kern w:val="0"/>
                <w:sz w:val="28"/>
                <w:szCs w:val="28"/>
              </w:rPr>
              <w:t>广东</w:t>
            </w:r>
          </w:p>
        </w:tc>
        <w:tc>
          <w:tcPr>
            <w:tcW w:w="597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韶关市仁化县、南雄市</w:t>
            </w:r>
          </w:p>
        </w:tc>
      </w:tr>
      <w:tr>
        <w:tblPrEx>
          <w:tblLayout w:type="fixed"/>
          <w:tblCellMar>
            <w:top w:w="0" w:type="dxa"/>
            <w:left w:w="108" w:type="dxa"/>
            <w:bottom w:w="0" w:type="dxa"/>
            <w:right w:w="108" w:type="dxa"/>
          </w:tblCellMar>
        </w:tblPrEx>
        <w:trPr>
          <w:trHeight w:val="556" w:hRule="exact"/>
        </w:trPr>
        <w:tc>
          <w:tcPr>
            <w:tcW w:w="8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8"/>
                <w:szCs w:val="28"/>
              </w:rPr>
            </w:pPr>
            <w:r>
              <w:rPr>
                <w:rFonts w:hint="eastAsia" w:ascii="Times New Roman" w:hAnsi="Times New Roman"/>
                <w:color w:val="000000"/>
                <w:kern w:val="0"/>
                <w:sz w:val="28"/>
                <w:szCs w:val="28"/>
              </w:rPr>
              <w:t>13</w:t>
            </w: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8"/>
                <w:szCs w:val="28"/>
              </w:rPr>
            </w:pPr>
            <w:r>
              <w:rPr>
                <w:rFonts w:hint="eastAsia" w:ascii="仿宋_GB2312" w:hAnsi="Times New Roman" w:eastAsia="仿宋_GB2312"/>
                <w:color w:val="000000"/>
                <w:kern w:val="0"/>
                <w:sz w:val="28"/>
                <w:szCs w:val="28"/>
              </w:rPr>
              <w:t>广西</w:t>
            </w:r>
          </w:p>
        </w:tc>
        <w:tc>
          <w:tcPr>
            <w:tcW w:w="597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河池市南丹县</w:t>
            </w:r>
          </w:p>
        </w:tc>
      </w:tr>
      <w:tr>
        <w:tblPrEx>
          <w:tblLayout w:type="fixed"/>
          <w:tblCellMar>
            <w:top w:w="0" w:type="dxa"/>
            <w:left w:w="108" w:type="dxa"/>
            <w:bottom w:w="0" w:type="dxa"/>
            <w:right w:w="108" w:type="dxa"/>
          </w:tblCellMar>
        </w:tblPrEx>
        <w:trPr>
          <w:trHeight w:val="556" w:hRule="exact"/>
        </w:trPr>
        <w:tc>
          <w:tcPr>
            <w:tcW w:w="8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8"/>
                <w:szCs w:val="28"/>
              </w:rPr>
            </w:pPr>
            <w:r>
              <w:rPr>
                <w:rFonts w:hint="eastAsia" w:ascii="Times New Roman" w:hAnsi="Times New Roman"/>
                <w:color w:val="000000"/>
                <w:kern w:val="0"/>
                <w:sz w:val="28"/>
                <w:szCs w:val="28"/>
              </w:rPr>
              <w:t>14</w:t>
            </w: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8"/>
                <w:szCs w:val="28"/>
              </w:rPr>
            </w:pPr>
            <w:r>
              <w:rPr>
                <w:rFonts w:hint="eastAsia" w:ascii="仿宋_GB2312" w:hAnsi="Times New Roman" w:eastAsia="仿宋_GB2312"/>
                <w:color w:val="000000"/>
                <w:kern w:val="0"/>
                <w:sz w:val="28"/>
                <w:szCs w:val="28"/>
              </w:rPr>
              <w:t>重庆</w:t>
            </w:r>
          </w:p>
        </w:tc>
        <w:tc>
          <w:tcPr>
            <w:tcW w:w="597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城口县</w:t>
            </w:r>
          </w:p>
        </w:tc>
      </w:tr>
      <w:tr>
        <w:tblPrEx>
          <w:tblLayout w:type="fixed"/>
          <w:tblCellMar>
            <w:top w:w="0" w:type="dxa"/>
            <w:left w:w="108" w:type="dxa"/>
            <w:bottom w:w="0" w:type="dxa"/>
            <w:right w:w="108" w:type="dxa"/>
          </w:tblCellMar>
        </w:tblPrEx>
        <w:trPr>
          <w:trHeight w:val="556" w:hRule="exact"/>
        </w:trPr>
        <w:tc>
          <w:tcPr>
            <w:tcW w:w="8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8"/>
                <w:szCs w:val="28"/>
              </w:rPr>
            </w:pPr>
            <w:r>
              <w:rPr>
                <w:rFonts w:hint="eastAsia" w:ascii="Times New Roman" w:hAnsi="Times New Roman"/>
                <w:color w:val="000000"/>
                <w:kern w:val="0"/>
                <w:sz w:val="28"/>
                <w:szCs w:val="28"/>
              </w:rPr>
              <w:t>15</w:t>
            </w: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8"/>
                <w:szCs w:val="28"/>
              </w:rPr>
            </w:pPr>
            <w:r>
              <w:rPr>
                <w:rFonts w:hint="eastAsia" w:ascii="仿宋_GB2312" w:hAnsi="Times New Roman" w:eastAsia="仿宋_GB2312"/>
                <w:color w:val="000000"/>
                <w:kern w:val="0"/>
                <w:sz w:val="28"/>
                <w:szCs w:val="28"/>
              </w:rPr>
              <w:t>四川</w:t>
            </w:r>
          </w:p>
        </w:tc>
        <w:tc>
          <w:tcPr>
            <w:tcW w:w="597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凉山州会理县</w:t>
            </w:r>
          </w:p>
        </w:tc>
      </w:tr>
      <w:tr>
        <w:tblPrEx>
          <w:tblLayout w:type="fixed"/>
          <w:tblCellMar>
            <w:top w:w="0" w:type="dxa"/>
            <w:left w:w="108" w:type="dxa"/>
            <w:bottom w:w="0" w:type="dxa"/>
            <w:right w:w="108" w:type="dxa"/>
          </w:tblCellMar>
        </w:tblPrEx>
        <w:trPr>
          <w:trHeight w:val="556" w:hRule="exact"/>
        </w:trPr>
        <w:tc>
          <w:tcPr>
            <w:tcW w:w="8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8"/>
                <w:szCs w:val="28"/>
              </w:rPr>
            </w:pPr>
            <w:r>
              <w:rPr>
                <w:rFonts w:hint="eastAsia" w:ascii="Times New Roman" w:hAnsi="Times New Roman"/>
                <w:color w:val="000000"/>
                <w:kern w:val="0"/>
                <w:sz w:val="28"/>
                <w:szCs w:val="28"/>
              </w:rPr>
              <w:t>16</w:t>
            </w: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8"/>
                <w:szCs w:val="28"/>
              </w:rPr>
            </w:pPr>
            <w:r>
              <w:rPr>
                <w:rFonts w:hint="eastAsia" w:ascii="仿宋_GB2312" w:hAnsi="Times New Roman" w:eastAsia="仿宋_GB2312"/>
                <w:color w:val="000000"/>
                <w:kern w:val="0"/>
                <w:sz w:val="28"/>
                <w:szCs w:val="28"/>
              </w:rPr>
              <w:t>贵州</w:t>
            </w:r>
          </w:p>
        </w:tc>
        <w:tc>
          <w:tcPr>
            <w:tcW w:w="597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黔南州开阳县</w:t>
            </w:r>
          </w:p>
        </w:tc>
      </w:tr>
      <w:tr>
        <w:tblPrEx>
          <w:tblLayout w:type="fixed"/>
          <w:tblCellMar>
            <w:top w:w="0" w:type="dxa"/>
            <w:left w:w="108" w:type="dxa"/>
            <w:bottom w:w="0" w:type="dxa"/>
            <w:right w:w="108" w:type="dxa"/>
          </w:tblCellMar>
        </w:tblPrEx>
        <w:trPr>
          <w:trHeight w:val="556" w:hRule="exact"/>
        </w:trPr>
        <w:tc>
          <w:tcPr>
            <w:tcW w:w="8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8"/>
                <w:szCs w:val="28"/>
              </w:rPr>
            </w:pPr>
            <w:r>
              <w:rPr>
                <w:rFonts w:hint="eastAsia" w:ascii="Times New Roman" w:hAnsi="Times New Roman"/>
                <w:color w:val="000000"/>
                <w:kern w:val="0"/>
                <w:sz w:val="28"/>
                <w:szCs w:val="28"/>
              </w:rPr>
              <w:t>17</w:t>
            </w: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8"/>
                <w:szCs w:val="28"/>
              </w:rPr>
            </w:pPr>
            <w:r>
              <w:rPr>
                <w:rFonts w:hint="eastAsia" w:ascii="仿宋_GB2312" w:hAnsi="Times New Roman" w:eastAsia="仿宋_GB2312"/>
                <w:color w:val="000000"/>
                <w:kern w:val="0"/>
                <w:sz w:val="28"/>
                <w:szCs w:val="28"/>
              </w:rPr>
              <w:t>云南</w:t>
            </w:r>
          </w:p>
        </w:tc>
        <w:tc>
          <w:tcPr>
            <w:tcW w:w="597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昆明市东川区</w:t>
            </w:r>
          </w:p>
        </w:tc>
      </w:tr>
      <w:tr>
        <w:tblPrEx>
          <w:tblLayout w:type="fixed"/>
          <w:tblCellMar>
            <w:top w:w="0" w:type="dxa"/>
            <w:left w:w="108" w:type="dxa"/>
            <w:bottom w:w="0" w:type="dxa"/>
            <w:right w:w="108" w:type="dxa"/>
          </w:tblCellMar>
        </w:tblPrEx>
        <w:trPr>
          <w:trHeight w:val="556" w:hRule="exact"/>
        </w:trPr>
        <w:tc>
          <w:tcPr>
            <w:tcW w:w="8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8"/>
                <w:szCs w:val="28"/>
              </w:rPr>
            </w:pPr>
            <w:r>
              <w:rPr>
                <w:rFonts w:hint="eastAsia" w:ascii="Times New Roman" w:hAnsi="Times New Roman"/>
                <w:color w:val="000000"/>
                <w:kern w:val="0"/>
                <w:sz w:val="28"/>
                <w:szCs w:val="28"/>
              </w:rPr>
              <w:t>18</w:t>
            </w: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8"/>
                <w:szCs w:val="28"/>
              </w:rPr>
            </w:pPr>
            <w:r>
              <w:rPr>
                <w:rFonts w:hint="eastAsia" w:ascii="仿宋_GB2312" w:hAnsi="Times New Roman" w:eastAsia="仿宋_GB2312"/>
                <w:color w:val="000000"/>
                <w:kern w:val="0"/>
                <w:sz w:val="28"/>
                <w:szCs w:val="28"/>
              </w:rPr>
              <w:t>陕西</w:t>
            </w:r>
          </w:p>
        </w:tc>
        <w:tc>
          <w:tcPr>
            <w:tcW w:w="597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宝鸡市凤县</w:t>
            </w:r>
          </w:p>
        </w:tc>
      </w:tr>
      <w:tr>
        <w:tblPrEx>
          <w:tblLayout w:type="fixed"/>
          <w:tblCellMar>
            <w:top w:w="0" w:type="dxa"/>
            <w:left w:w="108" w:type="dxa"/>
            <w:bottom w:w="0" w:type="dxa"/>
            <w:right w:w="108" w:type="dxa"/>
          </w:tblCellMar>
        </w:tblPrEx>
        <w:trPr>
          <w:trHeight w:val="556" w:hRule="exact"/>
        </w:trPr>
        <w:tc>
          <w:tcPr>
            <w:tcW w:w="8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8"/>
                <w:szCs w:val="28"/>
              </w:rPr>
            </w:pPr>
            <w:r>
              <w:rPr>
                <w:rFonts w:hint="eastAsia" w:ascii="Times New Roman" w:hAnsi="Times New Roman"/>
                <w:color w:val="000000"/>
                <w:kern w:val="0"/>
                <w:sz w:val="28"/>
                <w:szCs w:val="28"/>
              </w:rPr>
              <w:t>19</w:t>
            </w: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8"/>
                <w:szCs w:val="28"/>
              </w:rPr>
            </w:pPr>
            <w:r>
              <w:rPr>
                <w:rFonts w:hint="eastAsia" w:ascii="仿宋_GB2312" w:hAnsi="Times New Roman" w:eastAsia="仿宋_GB2312"/>
                <w:color w:val="000000"/>
                <w:kern w:val="0"/>
                <w:sz w:val="28"/>
                <w:szCs w:val="28"/>
              </w:rPr>
              <w:t>甘肃</w:t>
            </w:r>
          </w:p>
        </w:tc>
        <w:tc>
          <w:tcPr>
            <w:tcW w:w="597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金昌市金川区</w:t>
            </w:r>
          </w:p>
        </w:tc>
      </w:tr>
      <w:tr>
        <w:tblPrEx>
          <w:tblLayout w:type="fixed"/>
          <w:tblCellMar>
            <w:top w:w="0" w:type="dxa"/>
            <w:left w:w="108" w:type="dxa"/>
            <w:bottom w:w="0" w:type="dxa"/>
            <w:right w:w="108" w:type="dxa"/>
          </w:tblCellMar>
        </w:tblPrEx>
        <w:trPr>
          <w:trHeight w:val="556" w:hRule="exact"/>
        </w:trPr>
        <w:tc>
          <w:tcPr>
            <w:tcW w:w="8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8"/>
                <w:szCs w:val="28"/>
              </w:rPr>
            </w:pPr>
            <w:r>
              <w:rPr>
                <w:rFonts w:hint="eastAsia" w:ascii="Times New Roman" w:hAnsi="Times New Roman"/>
                <w:color w:val="000000"/>
                <w:kern w:val="0"/>
                <w:sz w:val="28"/>
                <w:szCs w:val="28"/>
              </w:rPr>
              <w:t>20</w:t>
            </w: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8"/>
                <w:szCs w:val="28"/>
              </w:rPr>
            </w:pPr>
            <w:r>
              <w:rPr>
                <w:rFonts w:hint="eastAsia" w:ascii="仿宋_GB2312" w:hAnsi="Times New Roman" w:eastAsia="仿宋_GB2312"/>
                <w:color w:val="000000"/>
                <w:kern w:val="0"/>
                <w:sz w:val="28"/>
                <w:szCs w:val="28"/>
              </w:rPr>
              <w:t>新疆</w:t>
            </w:r>
          </w:p>
        </w:tc>
        <w:tc>
          <w:tcPr>
            <w:tcW w:w="597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哈密市伊州区、塔城地区托里县</w:t>
            </w:r>
          </w:p>
        </w:tc>
      </w:tr>
    </w:tbl>
    <w:p>
      <w:pPr>
        <w:widowControl/>
        <w:jc w:val="left"/>
        <w:rPr>
          <w:rFonts w:ascii="仿宋_GB2312" w:eastAsia="仿宋_GB2312"/>
          <w:color w:val="000000"/>
          <w:sz w:val="32"/>
          <w:szCs w:val="32"/>
        </w:rPr>
      </w:pPr>
      <w:r>
        <w:rPr>
          <w:rFonts w:ascii="仿宋_GB2312" w:eastAsia="仿宋_GB2312"/>
          <w:color w:val="000000"/>
          <w:sz w:val="32"/>
          <w:szCs w:val="32"/>
        </w:rPr>
        <w:br w:type="page"/>
      </w:r>
    </w:p>
    <w:p>
      <w:pPr>
        <w:widowControl/>
        <w:jc w:val="left"/>
        <w:rPr>
          <w:rFonts w:ascii="黑体" w:hAnsi="黑体" w:eastAsia="黑体"/>
          <w:sz w:val="32"/>
          <w:szCs w:val="32"/>
        </w:rPr>
      </w:pPr>
      <w:r>
        <w:rPr>
          <w:rFonts w:hint="eastAsia" w:ascii="黑体" w:hAnsi="黑体" w:eastAsia="黑体"/>
          <w:sz w:val="32"/>
          <w:szCs w:val="32"/>
        </w:rPr>
        <w:t>附件3</w:t>
      </w:r>
    </w:p>
    <w:p>
      <w:pPr>
        <w:jc w:val="center"/>
        <w:rPr>
          <w:rFonts w:ascii="方正小标宋简体" w:eastAsia="方正小标宋简体"/>
          <w:sz w:val="44"/>
          <w:szCs w:val="44"/>
        </w:rPr>
      </w:pPr>
      <w:r>
        <w:rPr>
          <w:rFonts w:hint="eastAsia" w:ascii="方正小标宋简体" w:eastAsia="方正小标宋简体"/>
          <w:sz w:val="44"/>
          <w:szCs w:val="44"/>
        </w:rPr>
        <w:t>专家信息表</w:t>
      </w:r>
    </w:p>
    <w:p>
      <w:pPr>
        <w:spacing w:line="560" w:lineRule="exact"/>
        <w:rPr>
          <w:rFonts w:ascii="仿宋_GB2312" w:eastAsia="仿宋_GB2312"/>
          <w:sz w:val="32"/>
          <w:szCs w:val="32"/>
        </w:rPr>
      </w:pPr>
      <w:r>
        <w:rPr>
          <w:rFonts w:hint="eastAsia" w:ascii="Times New Roman" w:hAnsi="Times New Roman" w:eastAsia="仿宋_GB2312"/>
          <w:sz w:val="32"/>
          <w:szCs w:val="32"/>
        </w:rPr>
        <w:t>填报</w:t>
      </w:r>
      <w:r>
        <w:rPr>
          <w:rFonts w:ascii="Times New Roman" w:hAnsi="Times New Roman" w:eastAsia="仿宋_GB2312"/>
          <w:sz w:val="32"/>
          <w:szCs w:val="32"/>
        </w:rPr>
        <w:t xml:space="preserve">单位：（盖章）    </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134"/>
        <w:gridCol w:w="1134"/>
        <w:gridCol w:w="5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仿宋_GB2312" w:eastAsia="仿宋_GB2312"/>
                <w:sz w:val="32"/>
                <w:szCs w:val="32"/>
              </w:rPr>
            </w:pPr>
            <w:r>
              <w:rPr>
                <w:rFonts w:hint="eastAsia" w:ascii="仿宋_GB2312" w:eastAsia="仿宋_GB2312"/>
                <w:sz w:val="32"/>
                <w:szCs w:val="32"/>
              </w:rPr>
              <w:t>序号</w:t>
            </w:r>
          </w:p>
        </w:tc>
        <w:tc>
          <w:tcPr>
            <w:tcW w:w="1134" w:type="dxa"/>
            <w:vAlign w:val="top"/>
          </w:tcPr>
          <w:p>
            <w:pPr>
              <w:jc w:val="center"/>
              <w:rPr>
                <w:rFonts w:ascii="仿宋_GB2312" w:eastAsia="仿宋_GB2312"/>
                <w:sz w:val="32"/>
                <w:szCs w:val="32"/>
              </w:rPr>
            </w:pPr>
            <w:r>
              <w:rPr>
                <w:rFonts w:hint="eastAsia" w:ascii="仿宋_GB2312" w:eastAsia="仿宋_GB2312"/>
                <w:sz w:val="32"/>
                <w:szCs w:val="32"/>
              </w:rPr>
              <w:t>姓名</w:t>
            </w:r>
          </w:p>
        </w:tc>
        <w:tc>
          <w:tcPr>
            <w:tcW w:w="1134" w:type="dxa"/>
            <w:vAlign w:val="top"/>
          </w:tcPr>
          <w:p>
            <w:pPr>
              <w:jc w:val="center"/>
              <w:rPr>
                <w:rFonts w:ascii="仿宋_GB2312" w:eastAsia="仿宋_GB2312"/>
                <w:sz w:val="32"/>
                <w:szCs w:val="32"/>
              </w:rPr>
            </w:pPr>
            <w:r>
              <w:rPr>
                <w:rFonts w:hint="eastAsia" w:ascii="仿宋_GB2312" w:eastAsia="仿宋_GB2312"/>
                <w:sz w:val="32"/>
                <w:szCs w:val="32"/>
              </w:rPr>
              <w:t>年龄</w:t>
            </w:r>
          </w:p>
        </w:tc>
        <w:tc>
          <w:tcPr>
            <w:tcW w:w="5295" w:type="dxa"/>
            <w:vAlign w:val="top"/>
          </w:tcPr>
          <w:p>
            <w:pPr>
              <w:jc w:val="center"/>
              <w:rPr>
                <w:rFonts w:ascii="仿宋_GB2312" w:eastAsia="仿宋_GB2312"/>
                <w:sz w:val="32"/>
                <w:szCs w:val="32"/>
              </w:rPr>
            </w:pPr>
            <w:r>
              <w:rPr>
                <w:rFonts w:hint="eastAsia" w:ascii="仿宋_GB2312" w:eastAsia="仿宋_GB2312"/>
                <w:sz w:val="32"/>
                <w:szCs w:val="32"/>
              </w:rPr>
              <w:t>工作单位及职务（职称）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仿宋_GB2312" w:eastAsia="仿宋_GB2312"/>
                <w:sz w:val="32"/>
                <w:szCs w:val="32"/>
              </w:rPr>
            </w:pPr>
            <w:r>
              <w:rPr>
                <w:rFonts w:hint="eastAsia" w:ascii="仿宋_GB2312" w:eastAsia="仿宋_GB2312"/>
                <w:sz w:val="32"/>
                <w:szCs w:val="32"/>
              </w:rPr>
              <w:t>1</w:t>
            </w:r>
          </w:p>
        </w:tc>
        <w:tc>
          <w:tcPr>
            <w:tcW w:w="1134" w:type="dxa"/>
            <w:vAlign w:val="top"/>
          </w:tcPr>
          <w:p>
            <w:pPr>
              <w:jc w:val="center"/>
              <w:rPr>
                <w:rFonts w:ascii="仿宋_GB2312" w:eastAsia="仿宋_GB2312"/>
                <w:sz w:val="32"/>
                <w:szCs w:val="32"/>
              </w:rPr>
            </w:pPr>
          </w:p>
        </w:tc>
        <w:tc>
          <w:tcPr>
            <w:tcW w:w="1134" w:type="dxa"/>
            <w:vAlign w:val="top"/>
          </w:tcPr>
          <w:p>
            <w:pPr>
              <w:jc w:val="center"/>
              <w:rPr>
                <w:rFonts w:ascii="仿宋_GB2312" w:eastAsia="仿宋_GB2312"/>
                <w:sz w:val="32"/>
                <w:szCs w:val="32"/>
              </w:rPr>
            </w:pPr>
          </w:p>
        </w:tc>
        <w:tc>
          <w:tcPr>
            <w:tcW w:w="5295" w:type="dxa"/>
            <w:vAlign w:val="top"/>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仿宋_GB2312" w:eastAsia="仿宋_GB2312"/>
                <w:sz w:val="32"/>
                <w:szCs w:val="32"/>
              </w:rPr>
            </w:pPr>
            <w:r>
              <w:rPr>
                <w:rFonts w:hint="eastAsia" w:ascii="仿宋_GB2312" w:eastAsia="仿宋_GB2312"/>
                <w:sz w:val="32"/>
                <w:szCs w:val="32"/>
              </w:rPr>
              <w:t>2</w:t>
            </w:r>
          </w:p>
        </w:tc>
        <w:tc>
          <w:tcPr>
            <w:tcW w:w="1134" w:type="dxa"/>
            <w:vAlign w:val="top"/>
          </w:tcPr>
          <w:p>
            <w:pPr>
              <w:jc w:val="center"/>
              <w:rPr>
                <w:rFonts w:ascii="仿宋_GB2312" w:eastAsia="仿宋_GB2312"/>
                <w:sz w:val="32"/>
                <w:szCs w:val="32"/>
              </w:rPr>
            </w:pPr>
          </w:p>
        </w:tc>
        <w:tc>
          <w:tcPr>
            <w:tcW w:w="1134" w:type="dxa"/>
            <w:vAlign w:val="top"/>
          </w:tcPr>
          <w:p>
            <w:pPr>
              <w:jc w:val="center"/>
              <w:rPr>
                <w:rFonts w:ascii="仿宋_GB2312" w:eastAsia="仿宋_GB2312"/>
                <w:sz w:val="32"/>
                <w:szCs w:val="32"/>
              </w:rPr>
            </w:pPr>
          </w:p>
        </w:tc>
        <w:tc>
          <w:tcPr>
            <w:tcW w:w="5295" w:type="dxa"/>
            <w:vAlign w:val="top"/>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仿宋_GB2312" w:eastAsia="仿宋_GB2312"/>
                <w:sz w:val="32"/>
                <w:szCs w:val="32"/>
              </w:rPr>
            </w:pPr>
            <w:r>
              <w:rPr>
                <w:rFonts w:hint="eastAsia" w:ascii="仿宋_GB2312" w:eastAsia="仿宋_GB2312"/>
                <w:sz w:val="32"/>
                <w:szCs w:val="32"/>
              </w:rPr>
              <w:t>3</w:t>
            </w:r>
          </w:p>
        </w:tc>
        <w:tc>
          <w:tcPr>
            <w:tcW w:w="1134" w:type="dxa"/>
            <w:vAlign w:val="top"/>
          </w:tcPr>
          <w:p>
            <w:pPr>
              <w:jc w:val="center"/>
              <w:rPr>
                <w:rFonts w:ascii="仿宋_GB2312" w:eastAsia="仿宋_GB2312"/>
                <w:sz w:val="32"/>
                <w:szCs w:val="32"/>
              </w:rPr>
            </w:pPr>
          </w:p>
        </w:tc>
        <w:tc>
          <w:tcPr>
            <w:tcW w:w="1134" w:type="dxa"/>
            <w:vAlign w:val="top"/>
          </w:tcPr>
          <w:p>
            <w:pPr>
              <w:jc w:val="center"/>
              <w:rPr>
                <w:rFonts w:ascii="仿宋_GB2312" w:eastAsia="仿宋_GB2312"/>
                <w:sz w:val="32"/>
                <w:szCs w:val="32"/>
              </w:rPr>
            </w:pPr>
          </w:p>
        </w:tc>
        <w:tc>
          <w:tcPr>
            <w:tcW w:w="5295" w:type="dxa"/>
            <w:vAlign w:val="top"/>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仿宋_GB2312" w:eastAsia="仿宋_GB2312"/>
                <w:sz w:val="32"/>
                <w:szCs w:val="32"/>
              </w:rPr>
            </w:pPr>
            <w:r>
              <w:rPr>
                <w:rFonts w:hint="eastAsia" w:ascii="仿宋_GB2312" w:eastAsia="仿宋_GB2312"/>
                <w:sz w:val="32"/>
                <w:szCs w:val="32"/>
              </w:rPr>
              <w:t>4</w:t>
            </w:r>
          </w:p>
        </w:tc>
        <w:tc>
          <w:tcPr>
            <w:tcW w:w="1134" w:type="dxa"/>
            <w:vAlign w:val="top"/>
          </w:tcPr>
          <w:p>
            <w:pPr>
              <w:jc w:val="center"/>
              <w:rPr>
                <w:rFonts w:ascii="仿宋_GB2312" w:eastAsia="仿宋_GB2312"/>
                <w:sz w:val="32"/>
                <w:szCs w:val="32"/>
              </w:rPr>
            </w:pPr>
          </w:p>
        </w:tc>
        <w:tc>
          <w:tcPr>
            <w:tcW w:w="1134" w:type="dxa"/>
            <w:vAlign w:val="top"/>
          </w:tcPr>
          <w:p>
            <w:pPr>
              <w:jc w:val="center"/>
              <w:rPr>
                <w:rFonts w:ascii="仿宋_GB2312" w:eastAsia="仿宋_GB2312"/>
                <w:sz w:val="32"/>
                <w:szCs w:val="32"/>
              </w:rPr>
            </w:pPr>
          </w:p>
        </w:tc>
        <w:tc>
          <w:tcPr>
            <w:tcW w:w="5295" w:type="dxa"/>
            <w:vAlign w:val="top"/>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仿宋_GB2312" w:eastAsia="仿宋_GB2312"/>
                <w:sz w:val="32"/>
                <w:szCs w:val="32"/>
              </w:rPr>
            </w:pPr>
            <w:r>
              <w:rPr>
                <w:rFonts w:hint="eastAsia" w:ascii="仿宋_GB2312" w:eastAsia="仿宋_GB2312"/>
                <w:sz w:val="32"/>
                <w:szCs w:val="32"/>
              </w:rPr>
              <w:t>…</w:t>
            </w:r>
          </w:p>
        </w:tc>
        <w:tc>
          <w:tcPr>
            <w:tcW w:w="1134" w:type="dxa"/>
            <w:vAlign w:val="top"/>
          </w:tcPr>
          <w:p>
            <w:pPr>
              <w:jc w:val="center"/>
              <w:rPr>
                <w:rFonts w:ascii="仿宋_GB2312" w:eastAsia="仿宋_GB2312"/>
                <w:sz w:val="32"/>
                <w:szCs w:val="32"/>
              </w:rPr>
            </w:pPr>
            <w:r>
              <w:rPr>
                <w:rFonts w:hint="eastAsia" w:ascii="仿宋_GB2312" w:eastAsia="仿宋_GB2312"/>
                <w:sz w:val="32"/>
                <w:szCs w:val="32"/>
              </w:rPr>
              <w:t>…</w:t>
            </w:r>
          </w:p>
        </w:tc>
        <w:tc>
          <w:tcPr>
            <w:tcW w:w="1134" w:type="dxa"/>
            <w:vAlign w:val="top"/>
          </w:tcPr>
          <w:p>
            <w:pPr>
              <w:jc w:val="center"/>
              <w:rPr>
                <w:rFonts w:ascii="仿宋_GB2312" w:eastAsia="仿宋_GB2312"/>
                <w:sz w:val="32"/>
                <w:szCs w:val="32"/>
              </w:rPr>
            </w:pPr>
            <w:r>
              <w:rPr>
                <w:rFonts w:hint="eastAsia" w:ascii="仿宋_GB2312" w:eastAsia="仿宋_GB2312"/>
                <w:sz w:val="32"/>
                <w:szCs w:val="32"/>
              </w:rPr>
              <w:t>…</w:t>
            </w:r>
          </w:p>
        </w:tc>
        <w:tc>
          <w:tcPr>
            <w:tcW w:w="5295" w:type="dxa"/>
            <w:vAlign w:val="top"/>
          </w:tcPr>
          <w:p>
            <w:pPr>
              <w:jc w:val="center"/>
              <w:rPr>
                <w:rFonts w:ascii="仿宋_GB2312" w:eastAsia="仿宋_GB2312"/>
                <w:sz w:val="32"/>
                <w:szCs w:val="32"/>
              </w:rPr>
            </w:pPr>
            <w:r>
              <w:rPr>
                <w:rFonts w:hint="eastAsia" w:ascii="仿宋_GB2312" w:eastAsia="仿宋_GB2312"/>
                <w:sz w:val="32"/>
                <w:szCs w:val="32"/>
              </w:rPr>
              <w:t>…</w:t>
            </w:r>
          </w:p>
        </w:tc>
      </w:tr>
    </w:tbl>
    <w:p>
      <w:pPr>
        <w:spacing w:line="540" w:lineRule="exact"/>
        <w:rPr>
          <w:rFonts w:ascii="仿宋_GB2312" w:eastAsia="仿宋_GB2312"/>
          <w:color w:val="000000"/>
          <w:sz w:val="32"/>
          <w:szCs w:val="32"/>
        </w:rPr>
      </w:pPr>
      <w:r>
        <w:rPr>
          <w:rFonts w:hint="eastAsia" w:ascii="仿宋_GB2312" w:eastAsia="仿宋_GB2312"/>
          <w:color w:val="000000"/>
          <w:sz w:val="32"/>
          <w:szCs w:val="32"/>
        </w:rPr>
        <w:t xml:space="preserve">                    填报人：       联系方式：</w:t>
      </w:r>
    </w:p>
    <w:p>
      <w:pPr>
        <w:widowControl/>
        <w:jc w:val="left"/>
        <w:rPr>
          <w:rFonts w:ascii="仿宋_GB2312" w:eastAsia="仿宋_GB2312"/>
          <w:color w:val="000000"/>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 w:hAnsi="仿宋" w:eastAsia="仿宋" w:cs="仿宋"/>
          <w:sz w:val="32"/>
          <w:szCs w:val="32"/>
        </w:rPr>
      </w:pPr>
    </w:p>
    <w:sectPr>
      <w:footerReference r:id="rId4" w:type="default"/>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rPr>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B02294"/>
    <w:rsid w:val="503B544B"/>
    <w:rsid w:val="76B022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2020-02-03T09:22:00Z</dcterms:created>
  <dc:creator>Mango</dc:creator>
  <cp:lastModifiedBy>Mango</cp:lastModifiedBy>
  <dcterms:modified xsi:type="dcterms:W3CDTF">2020-02-03T09:27:13Z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