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tbl>
      <w:tblPr>
        <w:tblStyle w:val="5"/>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5145"/>
        <w:gridCol w:w="1185"/>
        <w:gridCol w:w="1320"/>
        <w:gridCol w:w="1019"/>
      </w:tblGrid>
      <w:tr>
        <w:tblPrEx>
          <w:tblCellMar>
            <w:top w:w="0" w:type="dxa"/>
            <w:left w:w="108" w:type="dxa"/>
            <w:bottom w:w="0" w:type="dxa"/>
            <w:right w:w="108" w:type="dxa"/>
          </w:tblCellMar>
        </w:tblPrEx>
        <w:tc>
          <w:tcPr>
            <w:tcW w:w="9150" w:type="dxa"/>
            <w:gridSpan w:val="5"/>
            <w:tcBorders>
              <w:top w:val="nil"/>
              <w:left w:val="nil"/>
              <w:bottom w:val="nil"/>
              <w:right w:val="nil"/>
            </w:tcBorders>
          </w:tcPr>
          <w:p>
            <w:pPr>
              <w:pStyle w:val="3"/>
              <w:keepNext w:val="0"/>
              <w:keepLines w:val="0"/>
              <w:pageBreakBefore w:val="0"/>
              <w:widowControl w:val="0"/>
              <w:kinsoku/>
              <w:wordWrap/>
              <w:overflowPunct/>
              <w:topLinePunct w:val="0"/>
              <w:autoSpaceDE/>
              <w:autoSpaceDN/>
              <w:bidi w:val="0"/>
              <w:adjustRightInd/>
              <w:snapToGrid/>
              <w:spacing w:beforeAutospacing="0" w:line="40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广东省第一届</w:t>
            </w:r>
            <w:bookmarkStart w:id="0" w:name="_GoBack"/>
            <w:r>
              <w:rPr>
                <w:rFonts w:hint="eastAsia" w:ascii="方正小标宋简体" w:hAnsi="方正小标宋简体" w:eastAsia="方正小标宋简体" w:cs="方正小标宋简体"/>
                <w:b w:val="0"/>
                <w:bCs w:val="0"/>
                <w:kern w:val="2"/>
                <w:sz w:val="36"/>
                <w:szCs w:val="36"/>
                <w:lang w:val="en-US" w:eastAsia="zh-CN" w:bidi="ar-SA"/>
              </w:rPr>
              <w:t>应急管理优秀宣传作品评比展播活动</w:t>
            </w:r>
          </w:p>
          <w:p>
            <w:pPr>
              <w:pStyle w:val="3"/>
              <w:keepNext w:val="0"/>
              <w:keepLines w:val="0"/>
              <w:pageBreakBefore w:val="0"/>
              <w:widowControl w:val="0"/>
              <w:kinsoku/>
              <w:wordWrap/>
              <w:overflowPunct/>
              <w:topLinePunct w:val="0"/>
              <w:autoSpaceDE/>
              <w:autoSpaceDN/>
              <w:bidi w:val="0"/>
              <w:adjustRightInd/>
              <w:snapToGrid/>
              <w:spacing w:beforeAutospacing="0" w:line="400" w:lineRule="exact"/>
              <w:ind w:left="0" w:leftChars="0" w:firstLine="0" w:firstLineChars="0"/>
              <w:jc w:val="center"/>
              <w:textAlignment w:val="auto"/>
              <w:rPr>
                <w:rFonts w:hint="eastAsia" w:ascii="华文中宋" w:hAnsi="华文中宋" w:eastAsia="华文中宋" w:cs="华文中宋"/>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作品创作任务认领表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131" w:type="dxa"/>
            <w:gridSpan w:val="4"/>
            <w:tcBorders>
              <w:top w:val="nil"/>
              <w:left w:val="nil"/>
              <w:bottom w:val="single" w:color="auto" w:sz="4" w:space="0"/>
              <w:right w:val="nil"/>
            </w:tcBorders>
          </w:tcPr>
          <w:p>
            <w:pPr>
              <w:pStyle w:val="3"/>
              <w:keepNext w:val="0"/>
              <w:keepLines w:val="0"/>
              <w:pageBreakBefore w:val="0"/>
              <w:widowControl w:val="0"/>
              <w:kinsoku/>
              <w:wordWrap/>
              <w:overflowPunct/>
              <w:topLinePunct w:val="0"/>
              <w:autoSpaceDE/>
              <w:autoSpaceDN/>
              <w:bidi w:val="0"/>
              <w:adjustRightInd/>
              <w:snapToGrid/>
              <w:spacing w:beforeAutospacing="0" w:line="40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填报单位：</w:t>
            </w:r>
          </w:p>
        </w:tc>
        <w:tc>
          <w:tcPr>
            <w:tcW w:w="1019" w:type="dxa"/>
            <w:tcBorders>
              <w:top w:val="nil"/>
              <w:left w:val="nil"/>
              <w:bottom w:val="single" w:color="auto" w:sz="4" w:space="0"/>
              <w:right w:val="nil"/>
            </w:tcBorders>
          </w:tcPr>
          <w:p>
            <w:pPr>
              <w:pStyle w:val="3"/>
              <w:keepNext w:val="0"/>
              <w:keepLines w:val="0"/>
              <w:pageBreakBefore w:val="0"/>
              <w:widowControl w:val="0"/>
              <w:kinsoku/>
              <w:wordWrap/>
              <w:overflowPunct/>
              <w:topLinePunct w:val="0"/>
              <w:autoSpaceDE/>
              <w:autoSpaceDN/>
              <w:bidi w:val="0"/>
              <w:adjustRightInd/>
              <w:snapToGrid/>
              <w:spacing w:beforeAutospacing="0" w:line="40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81" w:type="dxa"/>
            <w:tcBorders>
              <w:top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仿宋" w:hAnsi="仿宋" w:eastAsia="仿宋" w:cs="仿宋"/>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序号</w:t>
            </w:r>
          </w:p>
        </w:tc>
        <w:tc>
          <w:tcPr>
            <w:tcW w:w="5145" w:type="dxa"/>
            <w:tcBorders>
              <w:top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仿宋" w:hAnsi="仿宋" w:eastAsia="仿宋" w:cs="仿宋"/>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创作项目名称</w:t>
            </w:r>
          </w:p>
        </w:tc>
        <w:tc>
          <w:tcPr>
            <w:tcW w:w="1185" w:type="dxa"/>
            <w:tcBorders>
              <w:top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项目</w:t>
            </w:r>
          </w:p>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仿宋" w:hAnsi="仿宋" w:eastAsia="仿宋" w:cs="仿宋"/>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类型</w:t>
            </w:r>
          </w:p>
        </w:tc>
        <w:tc>
          <w:tcPr>
            <w:tcW w:w="1320" w:type="dxa"/>
            <w:tcBorders>
              <w:top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完成</w:t>
            </w:r>
          </w:p>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仿宋" w:hAnsi="仿宋" w:eastAsia="仿宋" w:cs="仿宋"/>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时限</w:t>
            </w:r>
          </w:p>
        </w:tc>
        <w:tc>
          <w:tcPr>
            <w:tcW w:w="1019" w:type="dxa"/>
            <w:tcBorders>
              <w:top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认领</w:t>
            </w:r>
          </w:p>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center"/>
              <w:textAlignment w:val="auto"/>
              <w:outlineLvl w:val="9"/>
              <w:rPr>
                <w:rFonts w:hint="eastAsia"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kern w:val="2"/>
                <w:sz w:val="28"/>
                <w:szCs w:val="28"/>
                <w:vertAlign w:val="baseline"/>
                <w:lang w:val="en-US" w:eastAsia="zh-CN" w:bidi="ar-SA"/>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贯彻落实习近平总书记关于安全生产及应急管理工作重要论述主题宣传</w:t>
            </w:r>
          </w:p>
        </w:tc>
        <w:tc>
          <w:tcPr>
            <w:tcW w:w="1185"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中共中央 国务院关于推进安全生产领域改革发展的意见主题宣传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贯彻落实习近平总书记重要训词和重要指示精神主题宣传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4</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新《安全生产法》和《广东省安全生产条例》等普法宣传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5</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新《生产安全事故应急条例》普法宣传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6</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新《生产安全事故应急预案管理办法》普法宣传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7</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《广东省安全生产责任险实施细则》普法宣传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8</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2021年全国“安全生产月”和“安全生产万里行”宣传及活动建议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9</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2021年全国“防灾减灾宣传月”和“世界减灾日”活动系列宣传及活动建议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2021-4-30</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10</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2021年“全国宪法周”“安全生产法宣传周”系列宣传及活动建议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11</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2021年“广东省应急管理普法知识竞赛广东选拔赛暨全国总决赛”系列宣传及活动建议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12</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2021全国“安康杯”竞赛和“青年安全示范岗”主题宣传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13</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2021年“粤港澳安全知识竞赛广东选拔赛暨总决赛”系列宣传及活动建议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14</w:t>
            </w:r>
          </w:p>
        </w:tc>
        <w:tc>
          <w:tcPr>
            <w:tcW w:w="5145" w:type="dxa"/>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2021年“广东省森林防灭火宣传月”系列宣传及活动建议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15</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2021年第二届“应急管理优秀宣传作品评比展播”主题宣传及活动建议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16</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2021年应急管理文化论坛及“应急管理、体育、旅游、文创、扶贫”等创新宣传及活动建议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广东省安全生产专项整治三年行动宣传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18</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推进应急管理体系和能力现代化建设主题宣传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19</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特种作业安全知识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有限空间作业安全知识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21</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烟花爆竹安全知识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22</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粉尘防爆安全知识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23</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建筑施工安全知识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24</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金属非金属矿山安全知识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25</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充电自行车安全知识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26</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城市消防安全与逃生知识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27</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森林防灭火知识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28</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户外安全与自救知识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29</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水上交通安全知识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30</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道路交通安全知识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31</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防溺水、防触电、防雷击及自救知识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32</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广东省自然灾害防治能力建设九项重大工程主题宣传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33</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台风、强降水、高温、冰冻等极端天气知识与避险自救宣传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34</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地震和地质灾害与救援知识</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35</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各类安全生产和自然灾害事故警示教育</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36</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全民安全体验场（馆）主题公园建设及方案</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6类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37</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创建国家安全发展示范城市主题宣传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38</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安全宣传“五进”活动主题宣传及活动建议</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1-7类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39</w:t>
            </w:r>
          </w:p>
        </w:tc>
        <w:tc>
          <w:tcPr>
            <w:tcW w:w="5145"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安全生产“一线三排”“四令三制”等政策宣传</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pacing w:val="-20"/>
                <w:kern w:val="2"/>
                <w:sz w:val="24"/>
                <w:szCs w:val="24"/>
                <w:vertAlign w:val="baseline"/>
                <w:lang w:val="en-US" w:eastAsia="zh-CN" w:bidi="ar-SA"/>
              </w:rPr>
              <w:t>1、2、3、4、5、7类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40</w:t>
            </w:r>
          </w:p>
        </w:tc>
        <w:tc>
          <w:tcPr>
            <w:tcW w:w="5145" w:type="dxa"/>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firstLine="0" w:firstLineChars="0"/>
              <w:jc w:val="left"/>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应急管理系统及自媒体logo、吉祥物和周边文创产品</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pacing w:val="-20"/>
                <w:kern w:val="2"/>
                <w:sz w:val="24"/>
                <w:szCs w:val="24"/>
                <w:vertAlign w:val="baseline"/>
                <w:lang w:val="en-US" w:eastAsia="zh-CN" w:bidi="ar-SA"/>
              </w:rPr>
              <w:t>1、2、3、4、5、7类</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2021-6-16</w:t>
            </w:r>
          </w:p>
        </w:tc>
        <w:tc>
          <w:tcPr>
            <w:tcW w:w="1019" w:type="dxa"/>
            <w:vAlign w:val="top"/>
          </w:tcPr>
          <w:p>
            <w:pPr>
              <w:keepNext w:val="0"/>
              <w:keepLines w:val="0"/>
              <w:pageBreakBefore w:val="0"/>
              <w:widowControl w:val="0"/>
              <w:kinsoku/>
              <w:wordWrap/>
              <w:overflowPunct/>
              <w:topLinePunct w:val="0"/>
              <w:autoSpaceDE/>
              <w:autoSpaceDN/>
              <w:bidi w:val="0"/>
              <w:adjustRightInd/>
              <w:snapToGrid/>
              <w:spacing w:beforeAutospacing="0" w:line="360" w:lineRule="exact"/>
              <w:ind w:left="0" w:leftChars="0" w:firstLine="0" w:firstLineChars="0"/>
              <w:jc w:val="center"/>
              <w:textAlignment w:val="auto"/>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131" w:type="dxa"/>
            <w:gridSpan w:val="4"/>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备注：在需认领的项目后画“√”，可多选；另可围绕安全生产、防灾减灾救灾和应急救援自提项目另表附后。</w:t>
            </w:r>
          </w:p>
        </w:tc>
        <w:tc>
          <w:tcPr>
            <w:tcW w:w="1019" w:type="dxa"/>
          </w:tcPr>
          <w:p>
            <w:pPr>
              <w:pStyle w:val="3"/>
              <w:keepNext w:val="0"/>
              <w:keepLines w:val="0"/>
              <w:pageBreakBefore w:val="0"/>
              <w:widowControl w:val="0"/>
              <w:kinsoku/>
              <w:wordWrap/>
              <w:overflowPunct/>
              <w:topLinePunct w:val="0"/>
              <w:autoSpaceDE/>
              <w:autoSpaceDN/>
              <w:bidi w:val="0"/>
              <w:adjustRightInd/>
              <w:snapToGrid/>
              <w:spacing w:before="0" w:beforeAutospacing="0" w:line="340" w:lineRule="exact"/>
              <w:ind w:left="0" w:leftChars="0" w:firstLine="0" w:firstLineChars="0"/>
              <w:jc w:val="both"/>
              <w:textAlignment w:val="auto"/>
              <w:outlineLvl w:val="9"/>
              <w:rPr>
                <w:rFonts w:hint="eastAsia" w:ascii="仿宋" w:hAnsi="仿宋" w:eastAsia="仿宋" w:cs="仿宋"/>
                <w:b w:val="0"/>
                <w:bCs w:val="0"/>
                <w:kern w:val="2"/>
                <w:sz w:val="24"/>
                <w:szCs w:val="24"/>
                <w:vertAlign w:val="baseline"/>
                <w:lang w:val="en-US" w:eastAsia="zh-CN" w:bidi="ar-SA"/>
              </w:rPr>
            </w:pPr>
          </w:p>
        </w:tc>
      </w:tr>
    </w:tbl>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both"/>
        <w:textAlignment w:val="auto"/>
        <w:rPr>
          <w:rFonts w:hint="default" w:ascii="华文中宋" w:hAnsi="华文中宋" w:eastAsia="华文中宋" w:cs="华文中宋"/>
          <w:b w:val="0"/>
          <w:bCs w:val="0"/>
          <w:kern w:val="2"/>
          <w:sz w:val="44"/>
          <w:szCs w:val="44"/>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both"/>
        <w:textAlignment w:val="auto"/>
        <w:rPr>
          <w:rFonts w:hint="default" w:ascii="华文中宋" w:hAnsi="华文中宋" w:eastAsia="华文中宋" w:cs="华文中宋"/>
          <w:b w:val="0"/>
          <w:bCs w:val="0"/>
          <w:kern w:val="2"/>
          <w:sz w:val="44"/>
          <w:szCs w:val="44"/>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Autospacing="0" w:line="300" w:lineRule="exact"/>
        <w:ind w:left="0" w:leftChars="0" w:firstLine="0" w:firstLineChars="0"/>
        <w:jc w:val="both"/>
        <w:textAlignment w:val="auto"/>
        <w:rPr>
          <w:rFonts w:hint="default" w:ascii="华文中宋" w:hAnsi="华文中宋" w:eastAsia="华文中宋" w:cs="华文中宋"/>
          <w:b w:val="0"/>
          <w:bCs w:val="0"/>
          <w:kern w:val="2"/>
          <w:sz w:val="44"/>
          <w:szCs w:val="4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13FBF"/>
    <w:rsid w:val="1B8D21E1"/>
    <w:rsid w:val="4B61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Body Text First Indent 2"/>
    <w:basedOn w:val="2"/>
    <w:qFormat/>
    <w:uiPriority w:val="99"/>
    <w:pPr>
      <w:spacing w:before="100" w:beforeAutospacing="1" w:after="0"/>
      <w:ind w:firstLine="42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2020-12-03T10:33:00Z</dcterms:created>
  <dc:creator>lenovo</dc:creator>
  <cp:lastModifiedBy>李冬妹</cp:lastModifiedBy>
  <dcterms:modified xsi:type="dcterms:W3CDTF">2021-01-07T08:56:47Z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