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40" w:lineRule="exact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附件2</w:t>
      </w:r>
    </w:p>
    <w:p>
      <w:pPr>
        <w:overflowPunct w:val="0"/>
        <w:spacing w:before="0" w:beforeAutospacing="0" w:line="54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Hlk10082055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广东省2022年“安全生产月”和</w:t>
      </w:r>
    </w:p>
    <w:p>
      <w:pPr>
        <w:overflowPunct w:val="0"/>
        <w:spacing w:before="0" w:beforeAutospacing="0" w:line="54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“安全生产南粤行”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活动进展情况统计表</w:t>
      </w:r>
      <w:bookmarkEnd w:id="0"/>
    </w:p>
    <w:p>
      <w:pPr>
        <w:pStyle w:val="4"/>
        <w:overflowPunct w:val="0"/>
        <w:spacing w:before="0" w:beforeAutospacing="0" w:line="800" w:lineRule="exact"/>
        <w:ind w:left="0" w:leftChars="0" w:firstLine="0" w:firstLineChars="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填报单位（盖章）：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联系人：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电话：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填报日期：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 xml:space="preserve">  　　    </w:t>
      </w:r>
    </w:p>
    <w:tbl>
      <w:tblPr>
        <w:tblStyle w:val="6"/>
        <w:tblW w:w="1388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4459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/>
              <w:ind w:left="-65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活动项目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/>
              <w:ind w:left="-65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内容要求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/>
              <w:ind w:left="-65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47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学习贯彻习近平总书记关 于安全生产重要论述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-57" w:leftChars="-27" w:firstLine="422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学习贯彻习近平总书记关于安全生产重要论述,集中学习《生命重于泰山》电视专题片,推动贯彻落实安全生产十五条措施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  <w:lang w:eastAsia="zh-CN"/>
              </w:rPr>
              <w:t>、省安委会安全生产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  <w:lang w:val="en-US" w:eastAsia="zh-CN"/>
              </w:rPr>
              <w:t>65条具体举措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专题研讨、集中宣讲、培训辅导等(  )场,参与(  )人次；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开展安全生产“公开课”“大家谈”“班组会”等学习活动(  )场,参与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1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6" w:leftChars="0" w:hanging="6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宣传贯彻安全生产法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-57" w:leftChars="-27" w:firstLine="468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开展安全生产法主题宣传活动,推动“第一责任人”守法履责,加大以案释法和以案普法的宣传力度。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组织开展全员应急救援演练和知识技能培训(  )场,参与(  )人次；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参与“第一责任人安全倡议书”活动(  )人次；</w:t>
            </w:r>
          </w:p>
          <w:p>
            <w:pPr>
              <w:overflowPunct w:val="0"/>
              <w:spacing w:after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曝光企业主体责任落实不到位被实行“一案双罚”、安全生产行刑衔接、因发生生产安全事故构成重大责任事故罪的典型案例(  )个；</w:t>
            </w:r>
          </w:p>
          <w:p>
            <w:pPr>
              <w:pStyle w:val="2"/>
              <w:overflowPunct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曝光隐患（</w:t>
            </w: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）个，其中在本地主流媒体曝光（</w:t>
            </w: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）个，推荐省活动组委会办公室（</w:t>
            </w: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）个，在省级主流媒体刊登（</w:t>
            </w: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）个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开展“我是安全吹哨人”,发现问题(  )项；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“查找身边的隐患”,查找隐患(  )条。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0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-59" w:leftChars="-31" w:hanging="6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开展“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  <w:lang w:eastAsia="zh-CN"/>
              </w:rPr>
              <w:t>安全生产南粤行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”活动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0" w:leftChars="0" w:firstLine="411" w:firstLineChars="196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组织开展“安全生产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  <w:lang w:eastAsia="zh-CN"/>
              </w:rPr>
              <w:t>南粤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行”专题行、区域行、网上行等活动；开展警示教育,组织观看安全生产警示教育片、专题展；报道各地打非治违和排查治理进展成效；鼓励社会公众举报安全生产重大隐患和违法行为,发挥媒体监督作用,集中曝光突出问题,每月至少在省级主流媒体曝光1-2个典型案例,并向全国“安全生产月”活动组委会办公室报送情况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组织观看安全生产警示教育片、专题展(  )场,参与(  )人次；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报道各地打非治违和排查治理进展成效(  )条；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社会公众举报安全生产重大隐患和违法行为(  )项；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发挥媒体监督作用,集中曝光突出问题(  )个；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向</w:t>
            </w: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 w:val="0"/>
              </w:rPr>
              <w:t>“安全生产月”活动组委会办公室报送典型案例(  )个。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5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-59" w:leftChars="-31" w:hanging="6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开展“安全宣传咨询日”和安全宣传“五进”活动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-57" w:leftChars="-27" w:firstLine="411" w:firstLineChars="196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开展群众喜闻乐见、形式多样、线上线下相结合的安全宣传咨询活动；组织开展“安全宣传全屏传播”；推动各级安委会成员单位加强协调联动和资源投入。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开展“主播讲安全”“专家远程会诊”(  )场,参与(  )人次；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“美好生活从安全开始话题征集”(  )条,参与(  )人次；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“新安法知多少”“救援技能趣味测试”等活动(  )场,参与(  )人次；制作公益广告、海报、短视频、提示语音等(  )条/份,宣传受众(  )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人次；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开展“进门入户送安全”(  )次,受众(  )人次；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组织“安全志愿者在行动”(  )场,参与(  )人次；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各类应急演练体验活动(  )场,参与(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-59" w:leftChars="-31" w:hanging="6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其他特色活动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-57" w:leftChars="-27" w:firstLine="411" w:firstLineChars="196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可根据实际情况选填。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组织(  )场/次,参与(  )人次,宣传受众(  )人次。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大标宋简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B9F13"/>
    <w:rsid w:val="DFEB9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Autospacing="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Body Text First Indent 2"/>
    <w:basedOn w:val="3"/>
    <w:uiPriority w:val="0"/>
    <w:pPr>
      <w:spacing w:before="100" w:beforeAutospacing="1"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2022-05-27T11:20:00Z</dcterms:created>
  <dc:creator>linyuehan594</dc:creator>
  <cp:lastModifiedBy>linyuehan594</cp:lastModifiedBy>
  <dcterms:modified xsi:type="dcterms:W3CDTF">2022-05-27T11:23:49Z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