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440001-2023-38085</w:t>
      </w:r>
    </w:p>
    <w:p>
      <w:pPr>
        <w:jc w:val="center"/>
      </w:pPr>
      <w:r>
        <w:rPr>
          <w:b/>
          <w:sz w:val="24"/>
        </w:rPr>
        <w:t>采购项目编号：</w:t>
      </w:r>
      <w:r>
        <w:rPr>
          <w:b/>
          <w:sz w:val="24"/>
        </w:rPr>
        <w:t>0877-23GZTP01F220</w:t>
      </w:r>
    </w:p>
    <w:p>
      <w:pPr>
        <w:jc w:val="center"/>
      </w:pPr>
      <w:r>
        <w:rPr>
          <w:b/>
          <w:sz w:val="24"/>
        </w:rPr>
        <w:t>项目名称：</w:t>
      </w:r>
      <w:r>
        <w:rPr>
          <w:b/>
          <w:sz w:val="24"/>
        </w:rPr>
        <w:t>广东省森林火险预警监测系统维护维修技术支撑项目（2023年）</w:t>
      </w:r>
    </w:p>
    <w:p>
      <w:pPr>
        <w:jc w:val="center"/>
      </w:pPr>
      <w:r>
        <w:rPr>
          <w:b/>
          <w:sz w:val="24"/>
        </w:rPr>
        <w:t>采购人：</w:t>
      </w:r>
      <w:r>
        <w:rPr>
          <w:b/>
          <w:sz w:val="24"/>
        </w:rPr>
        <w:t>广东省航空护林站（广东省林火卫星监测中心）</w:t>
      </w:r>
    </w:p>
    <w:p>
      <w:pPr>
        <w:jc w:val="center"/>
      </w:pPr>
      <w:r>
        <w:rPr>
          <w:b/>
          <w:sz w:val="24"/>
        </w:rPr>
        <w:t>采购代理机构：</w:t>
      </w:r>
      <w:r>
        <w:rPr>
          <w:b/>
          <w:sz w:val="24"/>
        </w:rPr>
        <w:t>广东广招招标采购有限公司</w:t>
      </w:r>
    </w:p>
    <w:p>
      <w:pPr>
        <w:ind w:firstLine="480"/>
      </w:pPr>
    </w:p>
    <w:p>
      <w:r>
        <w:rPr/>
        <w:t xml:space="preserve"> </w:t>
      </w:r>
    </w:p>
    <w:p/>
    <w:p>
      <w:pPr>
        <w:jc w:val="center"/>
      </w:pPr>
      <w:r>
        <w:rPr>
          <w:b/>
          <w:sz w:val="36"/>
        </w:rPr>
        <w:t>第一章 磋商邀请</w:t>
      </w:r>
    </w:p>
    <w:p>
      <w:pPr>
        <w:ind w:firstLine="480"/>
      </w:pPr>
      <w:r>
        <w:rPr/>
        <w:t>广东广招招标采购有限公司</w:t>
      </w:r>
      <w:r>
        <w:rPr/>
        <w:t>受</w:t>
      </w:r>
      <w:r>
        <w:rPr/>
        <w:t>广东省航空护林站（广东省林火卫星监测中心）</w:t>
      </w:r>
      <w:r>
        <w:rPr/>
        <w:t>的委托，采用</w:t>
      </w:r>
      <w:r>
        <w:rPr/>
        <w:t>竞争性磋商</w:t>
      </w:r>
      <w:r>
        <w:rPr/>
        <w:t>方式组织采购</w:t>
      </w:r>
      <w:r>
        <w:rPr/>
        <w:t>广东省森林火险预警监测系统维护维修技术支撑项目（2023年）</w:t>
      </w:r>
      <w:r>
        <w:rPr/>
        <w:t>。欢迎符合资格条件的供应商参加。</w:t>
      </w:r>
    </w:p>
    <w:p>
      <w:r>
        <w:rPr>
          <w:b/>
          <w:sz w:val="28"/>
        </w:rPr>
        <w:t>一.项目概述</w:t>
      </w:r>
    </w:p>
    <w:p>
      <w:r>
        <w:rPr>
          <w:b/>
          <w:sz w:val="24"/>
        </w:rPr>
        <w:t>1.名称与编号</w:t>
      </w:r>
    </w:p>
    <w:p>
      <w:pPr>
        <w:ind w:firstLine="480"/>
      </w:pPr>
      <w:r>
        <w:rPr/>
        <w:t>采购项目名称：</w:t>
      </w:r>
      <w:r>
        <w:rPr/>
        <w:t>广东省森林火险预警监测系统维护维修技术支撑项目（2023年）</w:t>
      </w:r>
    </w:p>
    <w:p>
      <w:pPr>
        <w:ind w:firstLine="480"/>
      </w:pPr>
      <w:r>
        <w:rPr/>
        <w:t>采购计划编号：</w:t>
      </w:r>
      <w:r>
        <w:rPr/>
        <w:t>440001-2023-38085</w:t>
      </w:r>
    </w:p>
    <w:p>
      <w:pPr>
        <w:ind w:firstLine="480"/>
      </w:pPr>
      <w:r>
        <w:rPr/>
        <w:t>采购项目编号：</w:t>
      </w:r>
      <w:r>
        <w:rPr/>
        <w:t>0877-23GZTP01F220</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采购包1(广东省森林火险预警监测系统维护维修技术支撑项目):</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森林防火服务</w:t>
            </w:r>
          </w:p>
        </w:tc>
        <w:tc>
          <w:tcPr>
            <w:tcW w:type="dxa" w:w="2136"/>
          </w:tcPr>
          <w:p>
            <w:r>
              <w:rPr/>
              <w:t>广东省森林火险预警监测系统维护维修技术支撑项目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合同履行期限：自合同签订之日起12个月。</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3）具有良好的商业信誉和健全的财务会计制度：提供2021年度财务状况报告或2022年度财务状况报告或2023年1月至今任意一个月的财务报表复印件；或银行出具的资信证明材料复印件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采购包1（广东省森林火险预警监测系统维护维修技术支撑项目）：</w:t>
      </w:r>
      <w:r>
        <w:rPr/>
        <w:t>本项目属于专门面向中小企业采购的项目，全部服务的承接方应为中小企业（监狱企业、残疾人福利单位视同小型、微型企业）【依据《中小企业声明函》或由省级以上监狱管理局、戒毒管理局(含新疆生产建设兵团)出具的承接方属于监狱企业的证明文件或承接方的《残疾人福利性单位声明函》】。</w:t>
      </w:r>
    </w:p>
    <w:p/>
    <w:p>
      <w:r>
        <w:rPr>
          <w:b/>
          <w:sz w:val="24"/>
        </w:rPr>
        <w:t>3.本项目特定的资格要求：</w:t>
      </w:r>
    </w:p>
    <w:p>
      <w:pPr>
        <w:ind w:firstLine="480"/>
      </w:pPr>
    </w:p>
    <w:p/>
    <w:p>
      <w:r>
        <w:rPr/>
        <w:t>采购包1（广东省森林火险预警监测系统维护维修技术支撑项目）：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广东广招招标采购有限公司网（http://www.gztpc.com）</w:t>
      </w:r>
    </w:p>
    <w:p>
      <w:r>
        <w:rPr>
          <w:b/>
          <w:sz w:val="28"/>
        </w:rPr>
        <w:t>六.本项目联系方式：</w:t>
      </w:r>
    </w:p>
    <w:p>
      <w:r>
        <w:rPr>
          <w:b/>
          <w:sz w:val="24"/>
        </w:rPr>
        <w:t>1.采购人信息</w:t>
      </w:r>
    </w:p>
    <w:p>
      <w:pPr>
        <w:ind w:firstLine="480"/>
      </w:pPr>
      <w:r>
        <w:rPr/>
        <w:t>名称：</w:t>
      </w:r>
      <w:r>
        <w:rPr/>
        <w:t>广东省航空护林站（广东省林火卫星监测中心）</w:t>
      </w:r>
    </w:p>
    <w:p>
      <w:pPr>
        <w:ind w:firstLine="480"/>
      </w:pPr>
      <w:r>
        <w:rPr/>
        <w:t>地址：</w:t>
      </w:r>
      <w:r>
        <w:rPr/>
        <w:t>广州市越秀区建设大马路19号</w:t>
      </w:r>
    </w:p>
    <w:p>
      <w:pPr>
        <w:ind w:firstLine="480"/>
      </w:pPr>
      <w:r>
        <w:rPr/>
        <w:t>联系方式：</w:t>
      </w:r>
      <w:r>
        <w:rPr/>
        <w:t>020-81839387</w:t>
      </w:r>
    </w:p>
    <w:p>
      <w:r>
        <w:rPr>
          <w:b/>
          <w:sz w:val="24"/>
        </w:rPr>
        <w:t>2.采购代理机构信息</w:t>
      </w:r>
    </w:p>
    <w:p>
      <w:pPr>
        <w:ind w:firstLine="480"/>
      </w:pPr>
      <w:r>
        <w:rPr/>
        <w:t>名称：</w:t>
      </w:r>
      <w:r>
        <w:rPr/>
        <w:t>广东广招招标采购有限公司</w:t>
      </w:r>
    </w:p>
    <w:p>
      <w:pPr>
        <w:ind w:firstLine="480"/>
      </w:pPr>
      <w:r>
        <w:rPr/>
        <w:t>地址：</w:t>
      </w:r>
      <w:r>
        <w:rPr/>
        <w:t>广州市东风东路745号东山紫园商务大厦2003单元</w:t>
      </w:r>
    </w:p>
    <w:p>
      <w:pPr>
        <w:ind w:firstLine="480"/>
      </w:pPr>
      <w:r>
        <w:rPr/>
        <w:t>联系方式：</w:t>
      </w:r>
      <w:r>
        <w:rPr/>
        <w:t>020-37816286-809</w:t>
      </w:r>
    </w:p>
    <w:p>
      <w:r>
        <w:rPr>
          <w:b/>
          <w:sz w:val="24"/>
        </w:rPr>
        <w:t>3.项目联系方式</w:t>
      </w:r>
    </w:p>
    <w:p>
      <w:pPr>
        <w:ind w:firstLine="480"/>
      </w:pPr>
      <w:r>
        <w:rPr/>
        <w:t>项目联系人：</w:t>
      </w:r>
      <w:r>
        <w:rPr/>
        <w:t>黎工</w:t>
      </w:r>
    </w:p>
    <w:p>
      <w:pPr>
        <w:ind w:firstLine="480"/>
      </w:pPr>
      <w:r>
        <w:rPr/>
        <w:t>电话：</w:t>
      </w:r>
      <w:r>
        <w:rPr/>
        <w:t>020-37816286-809</w:t>
      </w:r>
    </w:p>
    <w:p>
      <w:r>
        <w:rPr>
          <w:b/>
          <w:sz w:val="24"/>
        </w:rPr>
        <w:t>4.技术支持联系方式</w:t>
      </w:r>
    </w:p>
    <w:p>
      <w:pPr>
        <w:ind w:firstLine="480"/>
      </w:pPr>
      <w:r>
        <w:rPr/>
        <w:t>云平台联系方式：020-88696588</w:t>
      </w:r>
    </w:p>
    <w:p>
      <w:r>
        <w:rPr/>
        <w:t>采购代理机构：</w:t>
      </w:r>
      <w:r>
        <w:rPr/>
        <w:t>广东广招招标采购有限公司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pPr>
        <w:jc w:val="both"/>
      </w:pPr>
      <w:r>
        <w:rPr>
          <w:sz w:val="21"/>
        </w:rPr>
        <w:t>打</w:t>
      </w:r>
      <w:r>
        <w:rPr>
          <w:sz w:val="21"/>
        </w:rPr>
        <w:t>“★”</w:t>
      </w:r>
      <w:r>
        <w:rPr>
          <w:sz w:val="21"/>
        </w:rPr>
        <w:t>号条款为实质性条款，若有任何一条负偏离或不满足则导致投标无效。</w:t>
      </w:r>
      <w:r>
        <w:br/>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p>
      <w:pPr>
        <w:jc w:val="both"/>
      </w:pPr>
    </w:p>
    <w:p>
      <w:pPr>
        <w:jc w:val="both"/>
      </w:pPr>
      <w:r>
        <w:rPr>
          <w:b/>
          <w:color w:val="000000"/>
          <w:sz w:val="21"/>
        </w:rPr>
        <w:t>二</w:t>
      </w:r>
      <w:r>
        <w:rPr>
          <w:b/>
          <w:color w:val="000000"/>
          <w:sz w:val="21"/>
        </w:rPr>
        <w:t>、项目背景</w:t>
      </w:r>
    </w:p>
    <w:p>
      <w:pPr>
        <w:ind w:firstLine="420"/>
        <w:jc w:val="both"/>
      </w:pPr>
      <w:r>
        <w:rPr>
          <w:color w:val="000000"/>
          <w:sz w:val="21"/>
        </w:rPr>
        <w:t>森林火险预警监测工作是应急管理信息化全局性、系统性和战略性工程的重要组成部分。火险预警监测系统坚持目标导向和问题导向，坚持应急管理信息化为应急管理而建、为应急管理而用，坚持一切为了实战、一切围绕实战、一切服务实战理念。监测站的建成，为预防森林火灾发生提供科学支撑。一是构建了全天候、立体式、全方位的林火预警监测体系，为提前预置队伍力量和部署森林火灾防范工作提供科学支撑，有利于及早发现和快速处置火情；二是实现森林火险信息实时采集、传输、处理；三是实现森林火险实况信息和预报信息及时发布。</w:t>
      </w:r>
    </w:p>
    <w:p>
      <w:pPr>
        <w:ind w:firstLine="420"/>
        <w:jc w:val="both"/>
      </w:pPr>
      <w:r>
        <w:rPr>
          <w:color w:val="000000"/>
          <w:sz w:val="21"/>
        </w:rPr>
        <w:t>随着社会的发展，新时代下的火险监测设备，要做到数据精度高、信号传递稳定可靠、数据传输及时有效，才能充分发挥作用。新型火险监测站不仅可以提高监测数据质量，而且能够为后台提供更加准确的数据支撑，为防灾减灾提供更为丰富的监测数据，从而提升火险预测预警能力，降低灾害造成的损失。</w:t>
      </w:r>
    </w:p>
    <w:p>
      <w:pPr>
        <w:ind w:firstLine="420"/>
        <w:jc w:val="both"/>
      </w:pPr>
      <w:r>
        <w:rPr>
          <w:color w:val="000000"/>
          <w:sz w:val="21"/>
        </w:rPr>
        <w:t>经过四年（</w:t>
      </w:r>
      <w:r>
        <w:rPr>
          <w:color w:val="000000"/>
          <w:sz w:val="21"/>
        </w:rPr>
        <w:t>2019-2022年度）的维护维修工作，基本能保障162个站点数据稳定传输。为更有效的预防森林火灾的发生，拟对2012年建设的162个森林火险监测站点中30个站点进行整体设备更换为新型火险监测设备并维护，进一步提高森林火险预警能力和水平，科学有效地做好森林火灾预防工作，形成提前预警、因险而动的工作机制。</w:t>
      </w:r>
    </w:p>
    <w:p>
      <w:pPr>
        <w:jc w:val="both"/>
      </w:pPr>
      <w:r>
        <w:rPr>
          <w:b/>
          <w:color w:val="000000"/>
          <w:sz w:val="21"/>
        </w:rPr>
        <w:t>三</w:t>
      </w:r>
      <w:r>
        <w:rPr>
          <w:b/>
          <w:color w:val="000000"/>
          <w:sz w:val="21"/>
        </w:rPr>
        <w:t>、建设内容</w:t>
      </w:r>
    </w:p>
    <w:p>
      <w:pPr>
        <w:ind w:firstLine="420"/>
        <w:jc w:val="both"/>
      </w:pPr>
      <w:r>
        <w:rPr>
          <w:color w:val="000000"/>
          <w:sz w:val="21"/>
        </w:rPr>
        <w:t>由于广东雨水丰沛，加上监测站点大多建在林间林缘，周边环境复杂，存在站点附近植物生产速度快、危害性天气较多等问题，导致监测数据采集不准确，影响森林火险预警的精准度。为确保森林火险监测站正常运行，需定期巡检维护，如出现前端感知设备破损或丢失，需第一时间维修更换相关设备。具体服务内容如下：</w:t>
      </w:r>
    </w:p>
    <w:p>
      <w:pPr>
        <w:jc w:val="both"/>
      </w:pPr>
      <w:r>
        <w:rPr>
          <w:color w:val="000000"/>
          <w:sz w:val="21"/>
        </w:rPr>
        <w:t>自合同签订之日起，对</w:t>
      </w:r>
      <w:r>
        <w:rPr>
          <w:color w:val="000000"/>
          <w:sz w:val="21"/>
        </w:rPr>
        <w:t>162个监测站点进行为期1年的维护维修，并含1年的物联网卡数据传输费用，服务期内确保监测数据正常上传到省级森林火险预警监测平台，日常正常运行即在线率≥90%。</w:t>
      </w:r>
    </w:p>
    <w:p>
      <w:pPr>
        <w:jc w:val="both"/>
      </w:pPr>
      <w:r>
        <w:rPr>
          <w:color w:val="000000"/>
          <w:sz w:val="21"/>
        </w:rPr>
        <w:t>对</w:t>
      </w:r>
      <w:r>
        <w:rPr>
          <w:color w:val="000000"/>
          <w:sz w:val="21"/>
        </w:rPr>
        <w:t>2020年建设的23个土壤含水率监测设备维护维修，保障土壤含水率监测设备正常运行，日常正常运行即在线率≥90%。</w:t>
      </w:r>
    </w:p>
    <w:p>
      <w:pPr>
        <w:jc w:val="both"/>
      </w:pPr>
      <w:r>
        <w:rPr>
          <w:color w:val="000000"/>
          <w:sz w:val="21"/>
        </w:rPr>
        <w:t>对</w:t>
      </w:r>
      <w:r>
        <w:rPr>
          <w:color w:val="000000"/>
          <w:sz w:val="21"/>
        </w:rPr>
        <w:t>162个火险监测站点周边的林木及枝叶、杂草、藤蔓、落叶等进行及时清除清理，确保站点所部署环境及数据精度符合监测要求。</w:t>
      </w:r>
    </w:p>
    <w:p>
      <w:pPr>
        <w:jc w:val="both"/>
      </w:pPr>
      <w:r>
        <w:rPr>
          <w:color w:val="000000"/>
          <w:sz w:val="21"/>
        </w:rPr>
        <w:t>对广东省森林火险预警监测平台进行运维，保障系统正常运行。省级森林火险预警监测平台接收到数据后同步推送到国家预警平台，实现国家与省之间的数据互联互通。</w:t>
      </w:r>
    </w:p>
    <w:p>
      <w:pPr>
        <w:jc w:val="both"/>
      </w:pPr>
      <w:r>
        <w:rPr>
          <w:color w:val="000000"/>
          <w:sz w:val="21"/>
        </w:rPr>
        <w:t>对</w:t>
      </w:r>
      <w:r>
        <w:rPr>
          <w:color w:val="000000"/>
          <w:sz w:val="21"/>
        </w:rPr>
        <w:t>162个站点中的清远、肇庆市的30个站点进行新型火险监测设备</w:t>
      </w:r>
      <w:r>
        <w:rPr>
          <w:color w:val="000000"/>
          <w:sz w:val="21"/>
        </w:rPr>
        <w:t>（见附表）</w:t>
      </w:r>
      <w:r>
        <w:rPr>
          <w:color w:val="000000"/>
          <w:sz w:val="21"/>
        </w:rPr>
        <w:t>整体更换，同时要保证数据稳定性及兼容性，需无缝对接到广东省森林火险预警监测平台及广东应急森林防灭火系统。</w:t>
      </w:r>
    </w:p>
    <w:p>
      <w:pPr>
        <w:jc w:val="both"/>
      </w:pPr>
    </w:p>
    <w:p/>
    <w:p>
      <w:r>
        <w:rPr/>
        <w:t xml:space="preserve"> </w:t>
      </w:r>
    </w:p>
    <w:p/>
    <w:p/>
    <w:p>
      <w:pPr>
        <w:jc w:val="center"/>
      </w:pPr>
      <w:r>
        <w:rPr>
          <w:color w:val="000000"/>
          <w:sz w:val="24"/>
        </w:rPr>
        <w:t>站点分布情况表</w:t>
      </w:r>
    </w:p>
    <w:tbl>
      <w:tblPr>
        <w:tblW w:w="0" w:type="auto"/>
        <w:tblBorders>
          <w:top w:val="none" w:color="000000" w:sz="4"/>
          <w:left w:val="none" w:color="000000" w:sz="4"/>
          <w:bottom w:val="none" w:color="000000" w:sz="4"/>
          <w:right w:val="none" w:color="000000" w:sz="4"/>
          <w:insideH w:val="none"/>
          <w:insideV w:val="none"/>
        </w:tblBorders>
      </w:tblPr>
      <w:tblGrid>
        <w:gridCol w:w="315"/>
        <w:gridCol w:w="376"/>
        <w:gridCol w:w="358"/>
        <w:gridCol w:w="472"/>
        <w:gridCol w:w="621"/>
        <w:gridCol w:w="945"/>
        <w:gridCol w:w="892"/>
        <w:gridCol w:w="1181"/>
        <w:gridCol w:w="2039"/>
        <w:gridCol w:w="1067"/>
      </w:tblGrid>
      <w:tr>
        <w:tc>
          <w:tcPr>
            <w:tcW w:type="dxa" w:w="315"/>
            <w:tcBorders>
              <w:top w:val="single" w:color="000000" w:sz="4"/>
              <w:left w:val="single" w:color="000000" w:sz="4"/>
              <w:bottom w:val="single" w:color="000000" w:sz="4"/>
              <w:right w:val="single" w:color="000000" w:sz="4"/>
            </w:tcBorders>
            <w:vAlign w:val="top"/>
          </w:tcPr>
          <w:p>
            <w:pPr>
              <w:jc w:val="center"/>
            </w:pPr>
            <w:r>
              <w:rPr>
                <w:b/>
                <w:color w:val="000000"/>
                <w:sz w:val="18"/>
              </w:rPr>
              <w:t>序号</w:t>
            </w:r>
          </w:p>
        </w:tc>
        <w:tc>
          <w:tcPr>
            <w:tcW w:type="dxa" w:w="376"/>
            <w:tcBorders>
              <w:top w:val="single" w:color="000000" w:sz="4"/>
              <w:left w:val="none" w:color="000000" w:sz="4"/>
              <w:bottom w:val="single" w:color="000000" w:sz="4"/>
              <w:right w:val="single" w:color="000000" w:sz="4"/>
            </w:tcBorders>
            <w:vAlign w:val="top"/>
          </w:tcPr>
          <w:p>
            <w:pPr>
              <w:jc w:val="center"/>
            </w:pPr>
            <w:r>
              <w:rPr>
                <w:b/>
                <w:color w:val="000000"/>
                <w:sz w:val="18"/>
              </w:rPr>
              <w:t>所在市</w:t>
            </w:r>
          </w:p>
        </w:tc>
        <w:tc>
          <w:tcPr>
            <w:tcW w:type="dxa" w:w="358"/>
            <w:tcBorders>
              <w:top w:val="single" w:color="000000" w:sz="4"/>
              <w:left w:val="none" w:color="000000" w:sz="4"/>
              <w:bottom w:val="single" w:color="000000" w:sz="4"/>
              <w:right w:val="single" w:color="000000" w:sz="4"/>
            </w:tcBorders>
            <w:vAlign w:val="top"/>
          </w:tcPr>
          <w:p>
            <w:pPr>
              <w:jc w:val="center"/>
            </w:pPr>
            <w:r>
              <w:rPr>
                <w:b/>
                <w:color w:val="000000"/>
                <w:sz w:val="18"/>
              </w:rPr>
              <w:t>所在县</w:t>
            </w:r>
          </w:p>
        </w:tc>
        <w:tc>
          <w:tcPr>
            <w:tcW w:type="dxa" w:w="472"/>
            <w:tcBorders>
              <w:top w:val="single" w:color="000000" w:sz="4"/>
              <w:left w:val="none" w:color="000000" w:sz="4"/>
              <w:bottom w:val="single" w:color="000000" w:sz="4"/>
              <w:right w:val="single" w:color="000000" w:sz="4"/>
            </w:tcBorders>
            <w:vAlign w:val="top"/>
          </w:tcPr>
          <w:p>
            <w:pPr>
              <w:jc w:val="center"/>
            </w:pPr>
            <w:r>
              <w:rPr>
                <w:b/>
                <w:color w:val="000000"/>
                <w:sz w:val="18"/>
              </w:rPr>
              <w:t>站点编号</w:t>
            </w:r>
          </w:p>
        </w:tc>
        <w:tc>
          <w:tcPr>
            <w:tcW w:type="dxa" w:w="621"/>
            <w:tcBorders>
              <w:top w:val="single" w:color="000000" w:sz="4"/>
              <w:left w:val="none" w:color="000000" w:sz="4"/>
              <w:bottom w:val="single" w:color="000000" w:sz="4"/>
              <w:right w:val="single" w:color="000000" w:sz="4"/>
            </w:tcBorders>
            <w:vAlign w:val="top"/>
          </w:tcPr>
          <w:p>
            <w:pPr>
              <w:jc w:val="center"/>
            </w:pPr>
            <w:r>
              <w:rPr>
                <w:b/>
                <w:color w:val="000000"/>
                <w:sz w:val="18"/>
              </w:rPr>
              <w:t>站点</w:t>
            </w:r>
            <w:r>
              <w:rPr>
                <w:b/>
                <w:color w:val="000000"/>
                <w:sz w:val="18"/>
              </w:rPr>
              <w:t>ID</w:t>
            </w:r>
          </w:p>
        </w:tc>
        <w:tc>
          <w:tcPr>
            <w:tcW w:type="dxa" w:w="945"/>
            <w:tcBorders>
              <w:top w:val="single" w:color="000000" w:sz="4"/>
              <w:left w:val="none" w:color="000000" w:sz="4"/>
              <w:bottom w:val="single" w:color="000000" w:sz="4"/>
              <w:right w:val="single" w:color="000000" w:sz="4"/>
            </w:tcBorders>
            <w:vAlign w:val="top"/>
          </w:tcPr>
          <w:p>
            <w:pPr>
              <w:jc w:val="center"/>
            </w:pPr>
            <w:r>
              <w:rPr>
                <w:b/>
                <w:color w:val="000000"/>
                <w:sz w:val="18"/>
              </w:rPr>
              <w:t>经度</w:t>
            </w:r>
          </w:p>
        </w:tc>
        <w:tc>
          <w:tcPr>
            <w:tcW w:type="dxa" w:w="892"/>
            <w:tcBorders>
              <w:top w:val="single" w:color="000000" w:sz="4"/>
              <w:left w:val="none" w:color="000000" w:sz="4"/>
              <w:bottom w:val="single" w:color="000000" w:sz="4"/>
              <w:right w:val="single" w:color="000000" w:sz="4"/>
            </w:tcBorders>
            <w:vAlign w:val="top"/>
          </w:tcPr>
          <w:p>
            <w:pPr>
              <w:jc w:val="center"/>
            </w:pPr>
            <w:r>
              <w:rPr>
                <w:b/>
                <w:color w:val="000000"/>
                <w:sz w:val="18"/>
              </w:rPr>
              <w:t>纬度</w:t>
            </w:r>
          </w:p>
        </w:tc>
        <w:tc>
          <w:tcPr>
            <w:tcW w:type="dxa" w:w="1181"/>
            <w:tcBorders>
              <w:top w:val="single" w:color="000000" w:sz="4"/>
              <w:left w:val="none" w:color="000000" w:sz="4"/>
              <w:bottom w:val="single" w:color="000000" w:sz="4"/>
              <w:right w:val="single" w:color="000000" w:sz="4"/>
            </w:tcBorders>
            <w:vAlign w:val="top"/>
          </w:tcPr>
          <w:p>
            <w:pPr>
              <w:jc w:val="center"/>
            </w:pPr>
            <w:r>
              <w:rPr>
                <w:b/>
                <w:color w:val="000000"/>
                <w:sz w:val="18"/>
              </w:rPr>
              <w:t>站点名称</w:t>
            </w:r>
          </w:p>
        </w:tc>
        <w:tc>
          <w:tcPr>
            <w:tcW w:type="dxa" w:w="2039"/>
            <w:tcBorders>
              <w:top w:val="single" w:color="000000" w:sz="4"/>
              <w:left w:val="none" w:color="000000" w:sz="4"/>
              <w:bottom w:val="single" w:color="000000" w:sz="4"/>
              <w:right w:val="single" w:color="000000" w:sz="4"/>
            </w:tcBorders>
            <w:vAlign w:val="top"/>
          </w:tcPr>
          <w:p>
            <w:pPr>
              <w:jc w:val="center"/>
            </w:pPr>
            <w:r>
              <w:rPr>
                <w:b/>
                <w:color w:val="000000"/>
                <w:sz w:val="18"/>
              </w:rPr>
              <w:t>感知数据</w:t>
            </w:r>
          </w:p>
        </w:tc>
        <w:tc>
          <w:tcPr>
            <w:tcW w:type="dxa" w:w="1067"/>
            <w:tcBorders>
              <w:top w:val="single" w:color="000000" w:sz="4"/>
              <w:left w:val="none" w:color="000000" w:sz="4"/>
              <w:bottom w:val="single" w:color="000000" w:sz="4"/>
              <w:right w:val="single" w:color="000000" w:sz="4"/>
            </w:tcBorders>
            <w:vAlign w:val="top"/>
          </w:tcPr>
          <w:p>
            <w:pPr>
              <w:jc w:val="center"/>
            </w:pPr>
            <w:r>
              <w:rPr>
                <w:b/>
                <w:color w:val="000000"/>
                <w:sz w:val="18"/>
              </w:rPr>
              <w:t>备注</w:t>
            </w: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惠阳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440001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441303001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114°17′43.00″</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22°55′23.44″</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镇隆镇碗窑水库</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惠城</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440002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441302002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114°38′27.57″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23°18′46.18″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惠城区墩子林场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惠东</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440003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441323001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114°59′50.65″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23°11′45.20″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安墩镇粤赣湘边联队公园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4</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惠东</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440004</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441323002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115°05′24.45″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23°04′26.03″</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惠东县白盆珠水库附近</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5</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惠东</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440005</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441323003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114°54′49.80″</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22°38′14.57″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惠东县平海镇东和村求雨岭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龙门</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440006</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441324001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114°13′33.23″</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23°52′3.96″</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龙门县蓝田林业工作站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龙门</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440007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441324002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114°00′29.80″</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23°43′17.92″</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龙门县铁岗林业工作站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龙门</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440008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441324003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114°15′18.61″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23°42′54.39″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龙门县塔山森林公园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博罗</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440009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441322001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114°07′31.11″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23°13′21.83″</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博罗县石坳检查站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惠州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博罗</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441322002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114°22′28.06″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23°15′41.72″</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广东象头山国家级自然保护区管理局</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乐昌</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440281001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113°19′2.19″</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25°10′13.94″</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乐昌市后洞工区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乐昌</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440281002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113°24′9.87″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25°10′10.01″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乐昌市大瑶山林场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乐昌</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440281003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113°27′27.54″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25°12′5.24″</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乐昌市龙山林场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仁化</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440014</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440224002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113°35′47.65″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25°00′10.50″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河富检查站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15</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仁化</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440015</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440224003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113°47′12″</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25°00′31.44″</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黄坑检查站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16</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仁化</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440016</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440224004</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113°41′54.82″</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25°19′9.58″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红城林场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始兴</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440222001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114°15′16″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24°43′28.40″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车八岭保护区管理处</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始兴</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440222002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113°57′29.81″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24°55′10.98″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南山省级保护区管理处</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曲江</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440019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440205001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113°30′17.37″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24°37′57.18″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曲江区白土林业站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20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曲江</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440020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440205002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113°37′39.13″</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24°38′36.40″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曲江区南华护林队</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21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新丰</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440021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440233001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114°13′3.95″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23°59′25.32″</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雪山林场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22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新丰</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440022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440233002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114°13′13.65″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24°09′57.70″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黄石方林业工作站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23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新丰</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440023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440233003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114°15′35.51″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24°05′14.42″</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岳城林场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24</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翁源</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440024</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440229001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114°04′16.53″</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24°22′47.89″</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国营九曲水林场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25</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翁源</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440025</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440229002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114°13′27.22″</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24°34′39.07″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半溪联办林场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26</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440026</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440201002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113°31′35.55″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24°54′6.71″</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犁市林业站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27</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440027</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440201003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113°34′16.06</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24°47′3.52″</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武江区林业局芙蓉山防火工作站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28</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南雄</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440028</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440282001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114°19′7.36″</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25°09′1.24″</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南雄市森林消防大队</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29</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南雄</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440029</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440282002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114°24′17.19″</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25°16′20″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南雄市角湾联办林场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30</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乳源</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440030</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440232002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113°08′31.99″</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24°43′30.37″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东坪林业工作站（</w:t>
            </w:r>
            <w:r>
              <w:rPr>
                <w:color w:val="000000"/>
                <w:sz w:val="18"/>
              </w:rPr>
              <w:t>1）</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31</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乳源</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440031</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440232003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113°08′9.91″</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24°58′54.60″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大桥林业工作站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32</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韶关</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乳源</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440032</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440232004</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113°25′38.86″</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24°56′49.88″</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桂头林业工作站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33</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连平</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440033</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441623002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114°27′1.75″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24°25′46.40″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黄牛石省级自然保护区车口管护站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34</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连平</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440034</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441623003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114°29′27.64″</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24°25′39.56″</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九峰管理站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35</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紫金</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440035</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441621002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114°46′2.73″</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23°31′46.6″</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古竹木材检查站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36</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紫金</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440036</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441621003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115°01′38.85″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23°29′6.72″</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黄砂林场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37</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东源</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440037</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441625001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114°58′40.55″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23°52′30.85″</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黄田镇林业站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38</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源城</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440038</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441602001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114°33′56.20″</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23°35′8.94″</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铺前派出所</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39</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源城</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440039</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441602002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114°38′53.50″</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23°44′28.77″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东浦街道办事处</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40</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东源</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440040</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441625002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114°42′29.54″</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23°56′51.58″</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新丰江双江敬老院</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41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和平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440041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441624001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114°56′7.44″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24°30′1.77″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大坝林业工作站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42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河源</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龙川</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440042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441622001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115°16′38.74″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24°06′45.89″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林业科学研究所</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43</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清远</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连州</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440043</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441882001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112°24′14.7″</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25°01′8.6″</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瑶安自治乡站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44</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连州</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440044</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441882002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112°28′58.3″</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24°49′24.8″</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龙平林业站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45</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连山</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440045</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441825001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112°12′17.85″</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24°41′36.08″</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太保派出所前院</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46</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连山</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440046</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441825002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112°10′45.6″</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24°57′31.6″</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连山林业局后院</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47</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连南</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440047</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441826001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112°17′26.89″</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24°39′46.49″</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三排林业站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48</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连南</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440048</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441826002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112°24′29.7″</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24°32′36.9″</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大龙林场</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49</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清城</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440049</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441802001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113°07′56.55″</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23°42′55.1″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清远市森林消防大队</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50</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清新</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440050</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441827002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112°55′11.4″</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23°49′4.5″</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龙颈林业站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51</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清新</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440051</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441827003</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112°46′10.34″</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24°06′54.96″</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石潭林业站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52</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英德</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440052</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441881001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113°06′50.39″</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24°29′26.48″</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波罗前进保护站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53</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英德</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440053</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441881002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113°37′45.33″</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24°28′17.41″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沙口木材检查站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54</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英德</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440054</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441881003</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113°39′31.4″</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24°13′37.8″</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东华林业站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55</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佛冈</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440055</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441821001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113°38′29.45″</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23°53′0.21″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水头林业站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56</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阳山</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440056</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441823002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112°42′5.08″</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24°18′27.71″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东山自然保护区</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57</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阳山</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440057</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441823003</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112°42′5.44″</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24°36′12.4″</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生态公益林岭背管护中心</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58</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清远</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阳山</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440058</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441823004</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112°51′35.56″</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24°45′47.35″</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秤架林场</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59</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云城</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440059</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445302001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112°12′23.98″</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23°02′28.71″</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大洞水库管理所</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60</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云城</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440060</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445302002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112°05′57.32″</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22°55′55.65″</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云龙水库</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61</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云城</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440061</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445302003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111°59′2.2″</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22°53′3.15″</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迳尾水库管理所</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62</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罗定</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440062</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445381002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111°19′48.87″</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22°42′52.49″</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龙湾自然保护区管理所</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63</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罗定</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440063</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445381003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111°34′43.47″</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22°38′0.00″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罗平苗圃场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64</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罗定</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440064</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445381004</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111°31′49.96″</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22°41′54.12″</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金银河水库</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65</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新兴</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440065</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445321001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112°28′38.02″</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22°36′33.93″</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水台林场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66</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新兴</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440066</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445321002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112°21′6.48″</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22°46′34.57″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岩头林场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67</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新兴</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440067</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445321003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112°10′7.77″</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22°44′36.80″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山塘工区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68</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郁南</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440068</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445322001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111°32′4.44″</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23°08′42.03″</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建城果木场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69</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郁南</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440069</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445322002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111°39′42.83″</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23°08′31.32″</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大历管护站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70</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郁南</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440070</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445322003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111°32′1.52″</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23°15′12.45″</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大王山国家森林公园</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71</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云安</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440071</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445323001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111°54′23.38″</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22°58′10.86″</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高村油茶基地</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72</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云浮</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云安</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440072</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445323002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112°08′47.25″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22°48′55.35″</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鹅塘水库</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73</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云浮</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云安</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440073</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445323003</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111°56′55.35″</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22°39′55.72″</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大云雾林场</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74</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湛江</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遂溪</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440074</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440823001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109°55′10.51″</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24°30′32.10″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杨柑镇林业站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75</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湛江</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廉江</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440075</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440881001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110°17′42.1″</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21°19′31.27″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苗圃林业厂</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76</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湛江</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吴川</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440076</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440883001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110°51′22″</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21°27′17″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覃巴镇大榄冲村</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77</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湛江</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雷州</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440077</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440882001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109°51′11.67″</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20°19′26.33″</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唐家林业站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78</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湛江</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坡头</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440078</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440804001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110º28¹30″</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21º25¹10″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官渡镇政府</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79</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湛江</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徐闻</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440079</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440825001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110°26′8.8″</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20°19′58.38″</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北腊林场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80</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梅县</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440080</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441421001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116°25′28.94″</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24°30′33.03″</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松口镇林业站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81</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梅县</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440081</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441421002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116°02′57.80″</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24°14′21.91″</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维山村村委会</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82</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蕉岭</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440082</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441427001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116°16′42.65″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24°45′24.17″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皇佑笔林场</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83</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蕉岭</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440083</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441427002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116°10′5.04″</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24°40′29.47″</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镇山公园</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84</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梅州</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兴宁</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440084</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441481002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115°39′49.78″</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24°07′14.52″</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兴宁市林业科学研究所</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85</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兴宁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440085</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441481003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115°44′42.75″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24°15′28.61″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石壁林场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86</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平远</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440086</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441426001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115°51′48.46″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24°32′2.21″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林业苗圃场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87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梅江</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440087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441402001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116°11′47.61″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24°16′52.40″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西阳镇政府</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88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五华</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440088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441424002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115°56′18.47″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23°48′46.08″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鸿图嶂林场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89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大埔</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440089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441422001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116°41′23.86″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24°20′49.35″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五虎山公园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梅州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丰顺</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441423001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116°06′45.45″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23°45′50.59″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林业科学研究所</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揭阳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揭东</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445221002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116°32′25.15″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23°28′54.77″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桑浦山</w:t>
            </w:r>
            <w:r>
              <w:rPr>
                <w:color w:val="000000"/>
                <w:sz w:val="18"/>
              </w:rPr>
              <w:t>-双坑省级自然保护区管理处</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揭阳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惠来</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445224001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116°13′58.14″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23°05′15.51″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惠城镇车栅公墓</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揭阳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普宁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445281001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116°09′1.64″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23°15′37.80″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三坑水库坝</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94</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揭阳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普宁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440094</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445281002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115°52′33.30″</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23°09′10.90″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大坪农场第一橡胶管理区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95</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揭阳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普宁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440095</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445281003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115°50′58.02″</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23°26′59.46″</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揭西县气象局</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96</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汕头</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潮阳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440096</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440513001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116°32′28.64″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23°16′0.56″</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金浦街道三堡社区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汕头</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潮阳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440513002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116°37′7.55″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23°18′59.77″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林业局湿地站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汕头</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潮南</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440514001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116°20′40.41″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23°07′56.10″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森林消防大队</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99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汕头</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潮南</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440099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440514002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116°17′59.57″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23°12′9.80″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红场镇水美村大湖顶</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100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汕头</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南澳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440100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440523001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117°04′5.60″</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23°26′5.11″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风车发电站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101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汕头</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南澳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440101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440523002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116°59′28.93″</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23°26′50.18″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国家级森林公园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102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潮州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潮安</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440102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445121001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116°35′13.25″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23°50′18.39″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凤凰山省级自然保护区横担保护站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103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潮州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饶平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440103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445122001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116°43′30.11″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23°49′48.77″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浮滨镇新安林场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104</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潮州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饶平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440104</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445122002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116°50′6.46″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24°06′50.05″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饶洋镇上山村委会</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105</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封开</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440105</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441225001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111°56′12.84″</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23°27′39.31″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七星林场</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106</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封开</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440106</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441225002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111°30′12.51″</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23°24′42.41″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农业科学研究所</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107</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德庆</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440107</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441226001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111°51′30.39″</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23°13′39.36″</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林业科学研究所</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108</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德庆</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440108</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441226002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111°47′1.42″</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23°08′50.65″</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林业局后院</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109</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德庆</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440109</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441226003</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112°00′34.12″</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23°26′28.50″</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三叉顶自然保护区</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110</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端州</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440110</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441202001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112°00′34.12″</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23°26′28.50″</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北岭山森林公园</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111</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鼎湖</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440111</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441203001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112°33′11.25″</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23°10′0.30″</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鼎湖山</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112</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大旺区</w:t>
            </w:r>
            <w:r>
              <w:rPr>
                <w:b/>
                <w:color w:val="000000"/>
                <w:sz w:val="18"/>
              </w:rPr>
              <w:t>(四会市)</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440112</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441284002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112°48′58.16″</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23°22′27.61″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森林消防大队</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113</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怀集</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440113</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441224001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112°13′27.25″</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23°56′26.67″</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怀集县林业科学研究所</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114</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怀集</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440114</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441224002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111°58′0.96″</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24°12′5.84″</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岳山保护站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115</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高要</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440115</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441283001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112°17′17.78″</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23°10′39.77″</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禄布林业站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116</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高要</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440116</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441283002</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112°16′58.71″</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23°21′9.04″</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河台林业站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117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高要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440117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441283003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112°23′32.47″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23°08′7.70″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小湘林业站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118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广宁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440118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441223001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112°30′55.41″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23°28′7.25″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春水木材检查站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119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广宁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440119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441223002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112°30′50.58″</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23°38′33.33″</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石马山山顶</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广宁</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441223003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112°18′3.54″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23°40′7.10″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大塘山村北</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肇庆</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四会</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441284001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112°45′55.67″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23°22′4.94″</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大南山林场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汕尾</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城区</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441502001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115°20′31.98″</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22°52′6.67″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红草镇竹韦村营盛苗圃场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汕尾</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海丰</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441521001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115°23′3.24″</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23°05′25.15″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公平木材检查站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124</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汕尾</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陆河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440124</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441523002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115°36′30.39″</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23°11′16.19″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林业科学研究所</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125</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汕尾</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陆丰</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440125</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441581001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115°49′38.56″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23°02′11.04″</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陂洋林业工作站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126</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东莞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谢岗</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440126</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441921001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114°13′10.68″</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22°54′25.55″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谢岗镇大岭山森林公园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东莞</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虎门</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441916001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113°44′12.65″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22°51′2.19″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虎门镇大岭山森林公园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深圳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宝安</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440306001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113°51′14.96″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22°41′30.59″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宝安区森林治安巡查大队福永分队</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129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深圳</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龙岗</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440129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440307001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114°18′30.27″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22°45′5.5″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龙岗区龙筋顶</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珠海</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香洲</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440402001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114°18′30.27″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22°45′5.5″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香洲区森林公园后山</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珠海</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斗门</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440403001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113°18′28.72″</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22°11′20.57″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斗门区井口镇尖峰山森林公园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中山</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五桂山镇</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442018001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113°26′53.08″</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22°26′3.77″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茶山村林业站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中山</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五桂山镇</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442018002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113°28′21.48″</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22°24′39.10″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翠山甜鑫森林公园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134</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江门</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恩平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440134</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440785001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112°16′13.03″</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22°11′59.42″</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林科园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135</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江门</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台山</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440135</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440781001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112°42′30.27″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21°54′12.60″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甫草林场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136</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江门</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台山</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440136</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440781002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112°49′21.86″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22°10′32.72″</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红岭种子园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江门</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鹤山</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440784001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112°54′1.02″</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22°40′47.48″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林业科学研究所</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江门</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开平</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440783001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112°30′35.22″</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22°03′13.18″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东山林场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139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佛山</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南海</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440139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440605001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112°50′40.60″</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22°51′19.47″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西岸林场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佛山</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高明</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440608001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112°46′13.97″</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22°43′49.50″</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皂幕山森林公园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141</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佛山</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三水</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440141</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440607001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112°47′21.59″</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23°23′10.95″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大南山生态公益园林场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阳江</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阳春</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441781002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111°43′13.46″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22°14′31.49″</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花滩林场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143</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阳江</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阳春</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440143</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441781003</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111°52′05″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22°32′35″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河朗镇林业站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144</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阳江</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阳东</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440144</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441723001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112°13′09″</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21°49′45.1″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那山村委会后</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145</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阳江</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阳东</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440145</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441723002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112°04′6.6″</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21°49′45.1″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雅韵镇五丰村委会</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146</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阳江</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阳西</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440146</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441721001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111°33′45.48″</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21°47′31.58″</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织笼镇织笼林场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147</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阳江</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阳西</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440147</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441721002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111°33′46.1″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21°47′30.7″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孺桐林场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148</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阳江</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江城</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440148</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441702001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111°48′56.35″</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21°50′14.85″</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白沙阵漂流景区</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149</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高州</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440149</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440981001</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110°50′43.61″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21°54′5.11″</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高州市林业局森林公园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150</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高州</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440150</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440981002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110°58′26.3″</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22°09′07″</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东岸镇林业站</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vAlign w:val="top"/>
          </w:tcPr>
          <w:p>
            <w:pPr>
              <w:jc w:val="center"/>
            </w:pPr>
            <w:r>
              <w:rPr>
                <w:b/>
                <w:color w:val="000000"/>
                <w:sz w:val="18"/>
              </w:rPr>
              <w:t>151</w:t>
            </w:r>
          </w:p>
        </w:tc>
        <w:tc>
          <w:tcPr>
            <w:tcW w:type="dxa" w:w="376"/>
            <w:tcBorders>
              <w:top w:val="none" w:color="000000" w:sz="4"/>
              <w:left w:val="none" w:color="000000" w:sz="4"/>
              <w:bottom w:val="single" w:color="000000" w:sz="4"/>
              <w:right w:val="single" w:color="000000" w:sz="4"/>
            </w:tcBorders>
            <w:vAlign w:val="top"/>
          </w:tcPr>
          <w:p>
            <w:pPr>
              <w:jc w:val="center"/>
            </w:pPr>
            <w:r>
              <w:rPr>
                <w:b/>
                <w:color w:val="000000"/>
                <w:sz w:val="18"/>
              </w:rPr>
              <w:t>茂名</w:t>
            </w:r>
          </w:p>
        </w:tc>
        <w:tc>
          <w:tcPr>
            <w:tcW w:type="dxa" w:w="358"/>
            <w:tcBorders>
              <w:top w:val="none" w:color="000000" w:sz="4"/>
              <w:left w:val="none" w:color="000000" w:sz="4"/>
              <w:bottom w:val="single" w:color="000000" w:sz="4"/>
              <w:right w:val="single" w:color="000000" w:sz="4"/>
            </w:tcBorders>
            <w:vAlign w:val="top"/>
          </w:tcPr>
          <w:p>
            <w:pPr>
              <w:jc w:val="center"/>
            </w:pPr>
            <w:r>
              <w:rPr>
                <w:b/>
                <w:color w:val="000000"/>
                <w:sz w:val="18"/>
              </w:rPr>
              <w:t>化州</w:t>
            </w:r>
          </w:p>
        </w:tc>
        <w:tc>
          <w:tcPr>
            <w:tcW w:type="dxa" w:w="472"/>
            <w:tcBorders>
              <w:top w:val="none" w:color="000000" w:sz="4"/>
              <w:left w:val="none" w:color="000000" w:sz="4"/>
              <w:bottom w:val="single" w:color="000000" w:sz="4"/>
              <w:right w:val="single" w:color="000000" w:sz="4"/>
            </w:tcBorders>
            <w:vAlign w:val="top"/>
          </w:tcPr>
          <w:p>
            <w:pPr>
              <w:jc w:val="center"/>
            </w:pPr>
            <w:r>
              <w:rPr>
                <w:b/>
                <w:color w:val="000000"/>
                <w:sz w:val="18"/>
              </w:rPr>
              <w:t>440151</w:t>
            </w:r>
          </w:p>
        </w:tc>
        <w:tc>
          <w:tcPr>
            <w:tcW w:type="dxa" w:w="621"/>
            <w:tcBorders>
              <w:top w:val="none" w:color="000000" w:sz="4"/>
              <w:left w:val="none" w:color="000000" w:sz="4"/>
              <w:bottom w:val="single" w:color="000000" w:sz="4"/>
              <w:right w:val="single" w:color="000000" w:sz="4"/>
            </w:tcBorders>
            <w:vAlign w:val="top"/>
          </w:tcPr>
          <w:p>
            <w:pPr>
              <w:jc w:val="center"/>
            </w:pPr>
            <w:r>
              <w:rPr>
                <w:b/>
                <w:color w:val="000000"/>
                <w:sz w:val="18"/>
              </w:rPr>
              <w:t>440982001</w:t>
            </w:r>
          </w:p>
        </w:tc>
        <w:tc>
          <w:tcPr>
            <w:tcW w:type="dxa" w:w="945"/>
            <w:tcBorders>
              <w:top w:val="none" w:color="000000" w:sz="4"/>
              <w:left w:val="none" w:color="000000" w:sz="4"/>
              <w:bottom w:val="single" w:color="000000" w:sz="4"/>
              <w:right w:val="single" w:color="000000" w:sz="4"/>
            </w:tcBorders>
            <w:vAlign w:val="top"/>
          </w:tcPr>
          <w:p>
            <w:pPr>
              <w:jc w:val="center"/>
            </w:pPr>
            <w:r>
              <w:rPr>
                <w:b/>
                <w:color w:val="000000"/>
                <w:sz w:val="18"/>
              </w:rPr>
              <w:t>110°32′5.7″</w:t>
            </w:r>
          </w:p>
        </w:tc>
        <w:tc>
          <w:tcPr>
            <w:tcW w:type="dxa" w:w="892"/>
            <w:tcBorders>
              <w:top w:val="none" w:color="000000" w:sz="4"/>
              <w:left w:val="none" w:color="000000" w:sz="4"/>
              <w:bottom w:val="single" w:color="000000" w:sz="4"/>
              <w:right w:val="single" w:color="000000" w:sz="4"/>
            </w:tcBorders>
            <w:vAlign w:val="top"/>
          </w:tcPr>
          <w:p>
            <w:pPr>
              <w:jc w:val="center"/>
            </w:pPr>
            <w:r>
              <w:rPr>
                <w:b/>
                <w:color w:val="000000"/>
                <w:sz w:val="18"/>
              </w:rPr>
              <w:t>21°56′9.1″</w:t>
            </w:r>
          </w:p>
        </w:tc>
        <w:tc>
          <w:tcPr>
            <w:tcW w:type="dxa" w:w="1181"/>
            <w:tcBorders>
              <w:top w:val="none" w:color="000000" w:sz="4"/>
              <w:left w:val="none" w:color="000000" w:sz="4"/>
              <w:bottom w:val="single" w:color="000000" w:sz="4"/>
              <w:right w:val="single" w:color="000000" w:sz="4"/>
            </w:tcBorders>
            <w:vAlign w:val="top"/>
          </w:tcPr>
          <w:p>
            <w:pPr>
              <w:jc w:val="center"/>
            </w:pPr>
            <w:r>
              <w:rPr>
                <w:b/>
                <w:color w:val="000000"/>
                <w:sz w:val="18"/>
              </w:rPr>
              <w:t>合江镇林业站</w:t>
            </w:r>
          </w:p>
        </w:tc>
        <w:tc>
          <w:tcPr>
            <w:tcW w:type="dxa" w:w="2039"/>
            <w:tcBorders>
              <w:top w:val="none" w:color="000000" w:sz="4"/>
              <w:left w:val="none" w:color="000000" w:sz="4"/>
              <w:bottom w:val="single" w:color="000000" w:sz="4"/>
              <w:right w:val="single" w:color="000000" w:sz="4"/>
            </w:tcBorders>
            <w:vAlign w:val="top"/>
          </w:tcPr>
          <w:p>
            <w:pPr>
              <w:jc w:val="left"/>
            </w:pPr>
            <w:r>
              <w:rPr>
                <w:b/>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vAlign w:val="top"/>
          </w:tcPr>
          <w:p>
            <w:pPr>
              <w:jc w:val="center"/>
            </w:pPr>
            <w:r>
              <w:rPr>
                <w:b/>
                <w:color w:val="000000"/>
                <w:sz w:val="18"/>
              </w:rPr>
              <w:t>更换为新型火险监测设备（含地基传输等一切辅材设备）</w:t>
            </w:r>
          </w:p>
        </w:tc>
      </w:tr>
      <w:tr>
        <w:tc>
          <w:tcPr>
            <w:tcW w:type="dxa" w:w="315"/>
            <w:tcBorders>
              <w:top w:val="none" w:color="000000" w:sz="4"/>
              <w:left w:val="single" w:color="000000" w:sz="4"/>
              <w:bottom w:val="single" w:color="000000" w:sz="4"/>
              <w:right w:val="single" w:color="000000" w:sz="4"/>
            </w:tcBorders>
            <w:vAlign w:val="top"/>
          </w:tcPr>
          <w:p>
            <w:pPr>
              <w:jc w:val="center"/>
            </w:pPr>
            <w:r>
              <w:rPr>
                <w:color w:val="000000"/>
                <w:sz w:val="18"/>
              </w:rPr>
              <w:t>152</w:t>
            </w:r>
          </w:p>
        </w:tc>
        <w:tc>
          <w:tcPr>
            <w:tcW w:type="dxa" w:w="376"/>
            <w:tcBorders>
              <w:top w:val="none" w:color="000000" w:sz="4"/>
              <w:left w:val="none" w:color="000000" w:sz="4"/>
              <w:bottom w:val="single" w:color="000000" w:sz="4"/>
              <w:right w:val="single" w:color="000000" w:sz="4"/>
            </w:tcBorders>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vAlign w:val="top"/>
          </w:tcPr>
          <w:p>
            <w:pPr>
              <w:jc w:val="center"/>
            </w:pPr>
            <w:r>
              <w:rPr>
                <w:color w:val="000000"/>
                <w:sz w:val="18"/>
              </w:rPr>
              <w:t>化州</w:t>
            </w:r>
          </w:p>
        </w:tc>
        <w:tc>
          <w:tcPr>
            <w:tcW w:type="dxa" w:w="472"/>
            <w:tcBorders>
              <w:top w:val="none" w:color="000000" w:sz="4"/>
              <w:left w:val="none" w:color="000000" w:sz="4"/>
              <w:bottom w:val="single" w:color="000000" w:sz="4"/>
              <w:right w:val="single" w:color="000000" w:sz="4"/>
            </w:tcBorders>
            <w:vAlign w:val="top"/>
          </w:tcPr>
          <w:p>
            <w:pPr>
              <w:jc w:val="center"/>
            </w:pPr>
            <w:r>
              <w:rPr>
                <w:color w:val="000000"/>
                <w:sz w:val="18"/>
              </w:rPr>
              <w:t>440152</w:t>
            </w:r>
          </w:p>
        </w:tc>
        <w:tc>
          <w:tcPr>
            <w:tcW w:type="dxa" w:w="621"/>
            <w:tcBorders>
              <w:top w:val="none" w:color="000000" w:sz="4"/>
              <w:left w:val="none" w:color="000000" w:sz="4"/>
              <w:bottom w:val="single" w:color="000000" w:sz="4"/>
              <w:right w:val="single" w:color="000000" w:sz="4"/>
            </w:tcBorders>
            <w:vAlign w:val="top"/>
          </w:tcPr>
          <w:p>
            <w:pPr>
              <w:jc w:val="center"/>
            </w:pPr>
            <w:r>
              <w:rPr>
                <w:color w:val="000000"/>
                <w:sz w:val="18"/>
              </w:rPr>
              <w:t>440982002</w:t>
            </w:r>
          </w:p>
        </w:tc>
        <w:tc>
          <w:tcPr>
            <w:tcW w:type="dxa" w:w="945"/>
            <w:tcBorders>
              <w:top w:val="none" w:color="000000" w:sz="4"/>
              <w:left w:val="none" w:color="000000" w:sz="4"/>
              <w:bottom w:val="single" w:color="000000" w:sz="4"/>
              <w:right w:val="single" w:color="000000" w:sz="4"/>
            </w:tcBorders>
            <w:vAlign w:val="top"/>
          </w:tcPr>
          <w:p>
            <w:pPr>
              <w:jc w:val="center"/>
            </w:pPr>
            <w:r>
              <w:rPr>
                <w:color w:val="000000"/>
                <w:sz w:val="18"/>
              </w:rPr>
              <w:t>110°38′0.1″</w:t>
            </w:r>
          </w:p>
        </w:tc>
        <w:tc>
          <w:tcPr>
            <w:tcW w:type="dxa" w:w="892"/>
            <w:tcBorders>
              <w:top w:val="none" w:color="000000" w:sz="4"/>
              <w:left w:val="none" w:color="000000" w:sz="4"/>
              <w:bottom w:val="single" w:color="000000" w:sz="4"/>
              <w:right w:val="single" w:color="000000" w:sz="4"/>
            </w:tcBorders>
            <w:vAlign w:val="top"/>
          </w:tcPr>
          <w:p>
            <w:pPr>
              <w:jc w:val="center"/>
            </w:pPr>
            <w:r>
              <w:rPr>
                <w:color w:val="000000"/>
                <w:sz w:val="18"/>
              </w:rPr>
              <w:t>21°45′43.6″</w:t>
            </w:r>
          </w:p>
        </w:tc>
        <w:tc>
          <w:tcPr>
            <w:tcW w:type="dxa" w:w="1181"/>
            <w:tcBorders>
              <w:top w:val="none" w:color="000000" w:sz="4"/>
              <w:left w:val="none" w:color="000000" w:sz="4"/>
              <w:bottom w:val="single" w:color="000000" w:sz="4"/>
              <w:right w:val="single" w:color="000000" w:sz="4"/>
            </w:tcBorders>
            <w:vAlign w:val="top"/>
          </w:tcPr>
          <w:p>
            <w:pPr>
              <w:jc w:val="center"/>
            </w:pPr>
            <w:r>
              <w:rPr>
                <w:color w:val="000000"/>
                <w:sz w:val="18"/>
              </w:rPr>
              <w:t>丽冈镇尖岗岭</w:t>
            </w:r>
          </w:p>
        </w:tc>
        <w:tc>
          <w:tcPr>
            <w:tcW w:type="dxa" w:w="2039"/>
            <w:tcBorders>
              <w:top w:val="none" w:color="000000" w:sz="4"/>
              <w:left w:val="none" w:color="000000" w:sz="4"/>
              <w:bottom w:val="single" w:color="000000" w:sz="4"/>
              <w:right w:val="single" w:color="000000" w:sz="4"/>
            </w:tcBorders>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153</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电白</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440153</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440923001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111°17′36.7″</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21°52′19.1″</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那霍镇淡粉村村委会</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154</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电白</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440154</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440923002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111°11′39.9″</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21°51′22.9″</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黄岭镇水西村村委会</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155</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信宜</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440155</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440983001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110°57′40.5″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22°21′0.1″</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林业科学研究所</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156</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信宜</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440156</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440983002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110°48′45.7″</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22°31′16.3″</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径口镇林业站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157</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茂名</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信宜</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440157</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440983003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110°58′25.4″</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22°34′8.5″</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朱砂镇林业站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158</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广州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从化</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440158</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440184001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113°52′3.35″</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23°53′30.49″</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东明林业工作站</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159</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广州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增城</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440159</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440183001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113°51′59.99″</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23°19′59.00″</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森林防火指挥中心</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160</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广州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花都</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440160</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440114001</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113°04′43.08″</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23°23′6.25″</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花都区护林消防大队</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161</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广州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黄埔</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440161</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440111002</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113°31′19.26″</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23°15′28.46″</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金坑林场大院</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五要素（温度、湿度、风速、风向、雨量）</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r>
        <w:tc>
          <w:tcPr>
            <w:tcW w:type="dxa" w:w="315"/>
            <w:tcBorders>
              <w:top w:val="none" w:color="000000" w:sz="4"/>
              <w:left w:val="single" w:color="000000" w:sz="4"/>
              <w:bottom w:val="single" w:color="000000" w:sz="4"/>
              <w:right w:val="single" w:color="000000" w:sz="4"/>
            </w:tcBorders>
            <w:shd w:fill="FFFFFF"/>
            <w:vAlign w:val="top"/>
          </w:tcPr>
          <w:p>
            <w:pPr>
              <w:jc w:val="center"/>
            </w:pPr>
            <w:r>
              <w:rPr>
                <w:color w:val="000000"/>
                <w:sz w:val="18"/>
              </w:rPr>
              <w:t>162</w:t>
            </w:r>
          </w:p>
        </w:tc>
        <w:tc>
          <w:tcPr>
            <w:tcW w:type="dxa" w:w="376"/>
            <w:tcBorders>
              <w:top w:val="none" w:color="000000" w:sz="4"/>
              <w:left w:val="none" w:color="000000" w:sz="4"/>
              <w:bottom w:val="single" w:color="000000" w:sz="4"/>
              <w:right w:val="single" w:color="000000" w:sz="4"/>
            </w:tcBorders>
            <w:shd w:fill="FFFFFF"/>
            <w:vAlign w:val="top"/>
          </w:tcPr>
          <w:p>
            <w:pPr>
              <w:jc w:val="center"/>
            </w:pPr>
            <w:r>
              <w:rPr>
                <w:color w:val="000000"/>
                <w:sz w:val="18"/>
              </w:rPr>
              <w:t>广州</w:t>
            </w:r>
          </w:p>
        </w:tc>
        <w:tc>
          <w:tcPr>
            <w:tcW w:type="dxa" w:w="358"/>
            <w:tcBorders>
              <w:top w:val="none" w:color="000000" w:sz="4"/>
              <w:left w:val="none" w:color="000000" w:sz="4"/>
              <w:bottom w:val="single" w:color="000000" w:sz="4"/>
              <w:right w:val="single" w:color="000000" w:sz="4"/>
            </w:tcBorders>
            <w:shd w:fill="FFFFFF"/>
            <w:vAlign w:val="top"/>
          </w:tcPr>
          <w:p>
            <w:pPr>
              <w:jc w:val="center"/>
            </w:pPr>
            <w:r>
              <w:rPr>
                <w:color w:val="000000"/>
                <w:sz w:val="18"/>
              </w:rPr>
              <w:t>白云</w:t>
            </w:r>
          </w:p>
        </w:tc>
        <w:tc>
          <w:tcPr>
            <w:tcW w:type="dxa" w:w="472"/>
            <w:tcBorders>
              <w:top w:val="none" w:color="000000" w:sz="4"/>
              <w:left w:val="none" w:color="000000" w:sz="4"/>
              <w:bottom w:val="single" w:color="000000" w:sz="4"/>
              <w:right w:val="single" w:color="000000" w:sz="4"/>
            </w:tcBorders>
            <w:shd w:fill="FFFFFF"/>
            <w:vAlign w:val="top"/>
          </w:tcPr>
          <w:p>
            <w:pPr>
              <w:jc w:val="center"/>
            </w:pPr>
            <w:r>
              <w:rPr>
                <w:color w:val="000000"/>
                <w:sz w:val="18"/>
              </w:rPr>
              <w:t>440162</w:t>
            </w:r>
          </w:p>
        </w:tc>
        <w:tc>
          <w:tcPr>
            <w:tcW w:type="dxa" w:w="621"/>
            <w:tcBorders>
              <w:top w:val="none" w:color="000000" w:sz="4"/>
              <w:left w:val="none" w:color="000000" w:sz="4"/>
              <w:bottom w:val="single" w:color="000000" w:sz="4"/>
              <w:right w:val="single" w:color="000000" w:sz="4"/>
            </w:tcBorders>
            <w:shd w:fill="FFFFFF"/>
            <w:vAlign w:val="top"/>
          </w:tcPr>
          <w:p>
            <w:pPr>
              <w:jc w:val="center"/>
            </w:pPr>
            <w:r>
              <w:rPr>
                <w:color w:val="000000"/>
                <w:sz w:val="18"/>
              </w:rPr>
              <w:t>440111003</w:t>
            </w:r>
          </w:p>
        </w:tc>
        <w:tc>
          <w:tcPr>
            <w:tcW w:type="dxa" w:w="945"/>
            <w:tcBorders>
              <w:top w:val="none" w:color="000000" w:sz="4"/>
              <w:left w:val="none" w:color="000000" w:sz="4"/>
              <w:bottom w:val="single" w:color="000000" w:sz="4"/>
              <w:right w:val="single" w:color="000000" w:sz="4"/>
            </w:tcBorders>
            <w:shd w:fill="FFFFFF"/>
            <w:vAlign w:val="top"/>
          </w:tcPr>
          <w:p>
            <w:pPr>
              <w:jc w:val="center"/>
            </w:pPr>
            <w:r>
              <w:rPr>
                <w:color w:val="000000"/>
                <w:sz w:val="18"/>
              </w:rPr>
              <w:t>113°23′19.1″</w:t>
            </w:r>
          </w:p>
        </w:tc>
        <w:tc>
          <w:tcPr>
            <w:tcW w:type="dxa" w:w="892"/>
            <w:tcBorders>
              <w:top w:val="none" w:color="000000" w:sz="4"/>
              <w:left w:val="none" w:color="000000" w:sz="4"/>
              <w:bottom w:val="single" w:color="000000" w:sz="4"/>
              <w:right w:val="single" w:color="000000" w:sz="4"/>
            </w:tcBorders>
            <w:shd w:fill="FFFFFF"/>
            <w:vAlign w:val="top"/>
          </w:tcPr>
          <w:p>
            <w:pPr>
              <w:jc w:val="center"/>
            </w:pPr>
            <w:r>
              <w:rPr>
                <w:color w:val="000000"/>
                <w:sz w:val="18"/>
              </w:rPr>
              <w:t>23°18′48.8″</w:t>
            </w:r>
          </w:p>
        </w:tc>
        <w:tc>
          <w:tcPr>
            <w:tcW w:type="dxa" w:w="1181"/>
            <w:tcBorders>
              <w:top w:val="none" w:color="000000" w:sz="4"/>
              <w:left w:val="none" w:color="000000" w:sz="4"/>
              <w:bottom w:val="single" w:color="000000" w:sz="4"/>
              <w:right w:val="single" w:color="000000" w:sz="4"/>
            </w:tcBorders>
            <w:shd w:fill="FFFFFF"/>
            <w:vAlign w:val="top"/>
          </w:tcPr>
          <w:p>
            <w:pPr>
              <w:jc w:val="center"/>
            </w:pPr>
            <w:r>
              <w:rPr>
                <w:color w:val="000000"/>
                <w:sz w:val="18"/>
              </w:rPr>
              <w:t>白云区林业综合管理中心</w:t>
            </w:r>
          </w:p>
        </w:tc>
        <w:tc>
          <w:tcPr>
            <w:tcW w:type="dxa" w:w="2039"/>
            <w:tcBorders>
              <w:top w:val="none" w:color="000000" w:sz="4"/>
              <w:left w:val="none" w:color="000000" w:sz="4"/>
              <w:bottom w:val="single" w:color="000000" w:sz="4"/>
              <w:right w:val="single" w:color="000000" w:sz="4"/>
            </w:tcBorders>
            <w:shd w:fill="FFFFFF"/>
            <w:vAlign w:val="top"/>
          </w:tcPr>
          <w:p>
            <w:pPr>
              <w:jc w:val="left"/>
            </w:pPr>
            <w:r>
              <w:rPr>
                <w:color w:val="000000"/>
                <w:sz w:val="18"/>
              </w:rPr>
              <w:t>六要素（温度、湿度、风速、风向、雨量、土壤含水率）</w:t>
            </w:r>
          </w:p>
        </w:tc>
        <w:tc>
          <w:tcPr>
            <w:tcW w:type="dxa" w:w="1067"/>
            <w:tcBorders>
              <w:top w:val="none" w:color="000000" w:sz="4"/>
              <w:left w:val="none" w:color="000000" w:sz="4"/>
              <w:bottom w:val="single" w:color="000000" w:sz="4"/>
              <w:right w:val="single" w:color="000000" w:sz="4"/>
            </w:tcBorders>
            <w:shd w:fill="FFFFFF"/>
            <w:vAlign w:val="top"/>
          </w:tcPr>
          <w:p>
            <w:pPr>
              <w:jc w:val="center"/>
            </w:pPr>
          </w:p>
        </w:tc>
      </w:tr>
    </w:tbl>
    <w:p/>
    <w:p>
      <w:pPr>
        <w:jc w:val="both"/>
      </w:pPr>
    </w:p>
    <w:p>
      <w:pPr>
        <w:jc w:val="both"/>
      </w:pPr>
    </w:p>
    <w:p/>
    <w:p/>
    <w:p>
      <w:r>
        <w:rPr/>
        <w:t xml:space="preserve"> </w:t>
      </w:r>
    </w:p>
    <w:p>
      <w:pPr>
        <w:jc w:val="center"/>
      </w:pPr>
    </w:p>
    <w:p>
      <w:pPr>
        <w:jc w:val="center"/>
      </w:pPr>
      <w:r>
        <w:rPr>
          <w:b/>
          <w:color w:val="000000"/>
          <w:sz w:val="21"/>
        </w:rPr>
        <w:t>更换设备参数表参考</w:t>
      </w:r>
    </w:p>
    <w:tbl>
      <w:tblPr>
        <w:tblW w:w="0" w:type="auto"/>
        <w:tblBorders>
          <w:top w:val="none" w:color="000000" w:sz="4"/>
          <w:left w:val="none" w:color="000000" w:sz="4"/>
          <w:bottom w:val="none" w:color="000000" w:sz="4"/>
          <w:right w:val="none" w:color="000000" w:sz="4"/>
          <w:insideH w:val="none"/>
          <w:insideV w:val="none"/>
        </w:tblBorders>
      </w:tblPr>
      <w:tblGrid>
        <w:gridCol w:w="843"/>
        <w:gridCol w:w="1986"/>
        <w:gridCol w:w="5477"/>
      </w:tblGrid>
      <w:tr>
        <w:tc>
          <w:tcPr>
            <w:tcW w:type="dxa" w:w="84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98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5477"/>
            <w:tcBorders>
              <w:top w:val="single" w:color="000000" w:sz="4"/>
              <w:left w:val="single" w:color="000000" w:sz="4"/>
              <w:bottom w:val="single" w:color="000000" w:sz="4"/>
              <w:right w:val="single" w:color="000000" w:sz="4"/>
            </w:tcBorders>
            <w:vAlign w:val="top"/>
          </w:tcPr>
          <w:p>
            <w:pPr>
              <w:jc w:val="center"/>
            </w:pPr>
            <w:r>
              <w:rPr>
                <w:sz w:val="21"/>
              </w:rPr>
              <w:t>产品参数</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1</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太阳能光伏板</w:t>
            </w:r>
          </w:p>
        </w:tc>
        <w:tc>
          <w:tcPr>
            <w:tcW w:type="dxa" w:w="5477"/>
            <w:tcBorders>
              <w:top w:val="none" w:color="000000" w:sz="4"/>
              <w:left w:val="single" w:color="000000" w:sz="4"/>
              <w:bottom w:val="single" w:color="000000" w:sz="4"/>
              <w:right w:val="single" w:color="000000" w:sz="4"/>
            </w:tcBorders>
            <w:vAlign w:val="top"/>
          </w:tcPr>
          <w:p>
            <w:pPr>
              <w:jc w:val="both"/>
            </w:pPr>
            <w:r>
              <w:rPr>
                <w:sz w:val="21"/>
              </w:rPr>
              <w:t>（</w:t>
            </w:r>
            <w:r>
              <w:rPr>
                <w:sz w:val="21"/>
              </w:rPr>
              <w:t>1）采用高光效单晶硅太阳能电池片封装而成，电池片转换效率高于19%</w:t>
            </w:r>
            <w:r>
              <w:rPr>
                <w:sz w:val="21"/>
              </w:rPr>
              <w:t>；</w:t>
            </w:r>
          </w:p>
          <w:p>
            <w:pPr>
              <w:jc w:val="both"/>
            </w:pPr>
            <w:r>
              <w:rPr>
                <w:sz w:val="21"/>
              </w:rPr>
              <w:t>（</w:t>
            </w:r>
            <w:r>
              <w:rPr>
                <w:sz w:val="21"/>
              </w:rPr>
              <w:t>2）光伏组件峰值功率:60W2</w:t>
            </w:r>
            <w:r>
              <w:rPr>
                <w:sz w:val="21"/>
              </w:rPr>
              <w:t>；</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2</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磷酸铁理电池</w:t>
            </w:r>
          </w:p>
        </w:tc>
        <w:tc>
          <w:tcPr>
            <w:tcW w:type="dxa" w:w="5477"/>
            <w:tcBorders>
              <w:top w:val="none" w:color="000000" w:sz="4"/>
              <w:left w:val="single" w:color="000000" w:sz="4"/>
              <w:bottom w:val="single" w:color="000000" w:sz="4"/>
              <w:right w:val="single" w:color="000000" w:sz="4"/>
            </w:tcBorders>
            <w:vAlign w:val="top"/>
          </w:tcPr>
          <w:p>
            <w:pPr>
              <w:jc w:val="both"/>
            </w:pPr>
            <w:r>
              <w:rPr>
                <w:sz w:val="21"/>
              </w:rPr>
              <w:t>（</w:t>
            </w:r>
            <w:r>
              <w:rPr>
                <w:sz w:val="21"/>
              </w:rPr>
              <w:t>1）12V系统电压，MPPT充电模式</w:t>
            </w:r>
            <w:r>
              <w:rPr>
                <w:sz w:val="21"/>
              </w:rPr>
              <w:t>；</w:t>
            </w:r>
          </w:p>
          <w:p>
            <w:pPr>
              <w:jc w:val="both"/>
            </w:pPr>
            <w:r>
              <w:rPr>
                <w:sz w:val="21"/>
              </w:rPr>
              <w:t>（</w:t>
            </w:r>
            <w:r>
              <w:rPr>
                <w:sz w:val="21"/>
              </w:rPr>
              <w:t>2</w:t>
            </w:r>
            <w:r>
              <w:rPr>
                <w:sz w:val="21"/>
              </w:rPr>
              <w:t>）磷酸铁理电池专用充电程序</w:t>
            </w:r>
            <w:r>
              <w:rPr>
                <w:sz w:val="21"/>
              </w:rPr>
              <w:t>；</w:t>
            </w:r>
          </w:p>
          <w:p>
            <w:pPr>
              <w:jc w:val="both"/>
            </w:pPr>
            <w:r>
              <w:rPr>
                <w:sz w:val="21"/>
              </w:rPr>
              <w:t>（</w:t>
            </w:r>
            <w:r>
              <w:rPr>
                <w:sz w:val="21"/>
              </w:rPr>
              <w:t>3</w:t>
            </w:r>
            <w:r>
              <w:rPr>
                <w:sz w:val="21"/>
              </w:rPr>
              <w:t>）具有过充、过放、过载保护以及电子短路保护与防反接保护</w:t>
            </w:r>
            <w:r>
              <w:rPr>
                <w:sz w:val="21"/>
              </w:rPr>
              <w:t>；</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3</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太阳能充放电控制器</w:t>
            </w:r>
          </w:p>
        </w:tc>
        <w:tc>
          <w:tcPr>
            <w:tcW w:type="dxa" w:w="5477"/>
            <w:tcBorders>
              <w:top w:val="none" w:color="000000" w:sz="4"/>
              <w:left w:val="single" w:color="000000" w:sz="4"/>
              <w:bottom w:val="single" w:color="000000" w:sz="4"/>
              <w:right w:val="single" w:color="000000" w:sz="4"/>
            </w:tcBorders>
            <w:vAlign w:val="top"/>
          </w:tcPr>
          <w:p>
            <w:pPr>
              <w:jc w:val="left"/>
            </w:pPr>
            <w:r>
              <w:rPr>
                <w:sz w:val="21"/>
              </w:rPr>
              <w:t>（</w:t>
            </w:r>
            <w:r>
              <w:rPr>
                <w:sz w:val="21"/>
              </w:rPr>
              <w:t>1）12V系统电压，MPPT充电模式</w:t>
            </w:r>
            <w:r>
              <w:rPr>
                <w:sz w:val="21"/>
              </w:rPr>
              <w:t>；</w:t>
            </w:r>
          </w:p>
          <w:p>
            <w:pPr>
              <w:jc w:val="left"/>
            </w:pPr>
            <w:r>
              <w:rPr>
                <w:sz w:val="21"/>
              </w:rPr>
              <w:t>（</w:t>
            </w:r>
            <w:r>
              <w:rPr>
                <w:sz w:val="21"/>
              </w:rPr>
              <w:t>2</w:t>
            </w:r>
            <w:r>
              <w:rPr>
                <w:sz w:val="21"/>
              </w:rPr>
              <w:t>）磷酸铁理电池专用充电程序</w:t>
            </w:r>
            <w:r>
              <w:rPr>
                <w:sz w:val="21"/>
              </w:rPr>
              <w:t>；</w:t>
            </w:r>
          </w:p>
          <w:p>
            <w:pPr>
              <w:jc w:val="left"/>
            </w:pPr>
            <w:r>
              <w:rPr>
                <w:sz w:val="21"/>
              </w:rPr>
              <w:t>（</w:t>
            </w:r>
            <w:r>
              <w:rPr>
                <w:sz w:val="21"/>
              </w:rPr>
              <w:t>3</w:t>
            </w:r>
            <w:r>
              <w:rPr>
                <w:sz w:val="21"/>
              </w:rPr>
              <w:t>）具有过充、过放、过载保护以及电子短路保护与防反接保护</w:t>
            </w:r>
            <w:r>
              <w:rPr>
                <w:sz w:val="21"/>
              </w:rPr>
              <w:t>；</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4</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风向传感器</w:t>
            </w:r>
          </w:p>
        </w:tc>
        <w:tc>
          <w:tcPr>
            <w:tcW w:type="dxa" w:w="5477"/>
            <w:tcBorders>
              <w:top w:val="none" w:color="000000" w:sz="4"/>
              <w:left w:val="single" w:color="000000" w:sz="4"/>
              <w:bottom w:val="single" w:color="000000" w:sz="4"/>
              <w:right w:val="single" w:color="000000" w:sz="4"/>
            </w:tcBorders>
            <w:vAlign w:val="top"/>
          </w:tcPr>
          <w:p>
            <w:pPr>
              <w:jc w:val="left"/>
            </w:pPr>
            <w:r>
              <w:rPr>
                <w:sz w:val="21"/>
              </w:rPr>
              <w:t>测量范围：</w:t>
            </w:r>
            <w:r>
              <w:rPr>
                <w:sz w:val="21"/>
              </w:rPr>
              <w:t>0～360°；</w:t>
            </w:r>
          </w:p>
          <w:p>
            <w:pPr>
              <w:jc w:val="left"/>
            </w:pPr>
            <w:r>
              <w:rPr>
                <w:sz w:val="21"/>
              </w:rPr>
              <w:t>工作环境：</w:t>
            </w:r>
            <w:r>
              <w:rPr>
                <w:sz w:val="21"/>
              </w:rPr>
              <w:t>≤100%RH；</w:t>
            </w:r>
          </w:p>
          <w:p>
            <w:pPr>
              <w:jc w:val="left"/>
            </w:pPr>
            <w:r>
              <w:rPr>
                <w:sz w:val="21"/>
              </w:rPr>
              <w:t>分辨力：</w:t>
            </w:r>
            <w:r>
              <w:rPr>
                <w:sz w:val="21"/>
              </w:rPr>
              <w:t>1°；</w:t>
            </w:r>
          </w:p>
          <w:p>
            <w:pPr>
              <w:jc w:val="left"/>
            </w:pPr>
            <w:r>
              <w:rPr>
                <w:sz w:val="21"/>
              </w:rPr>
              <w:t>准确度：</w:t>
            </w:r>
            <w:r>
              <w:rPr>
                <w:sz w:val="21"/>
              </w:rPr>
              <w:t>±</w:t>
            </w:r>
            <w:r>
              <w:rPr>
                <w:sz w:val="21"/>
              </w:rPr>
              <w:t>3</w:t>
            </w:r>
            <w:r>
              <w:rPr>
                <w:sz w:val="21"/>
              </w:rPr>
              <w:t>°；</w:t>
            </w:r>
          </w:p>
          <w:p>
            <w:pPr>
              <w:jc w:val="left"/>
            </w:pPr>
            <w:r>
              <w:rPr>
                <w:sz w:val="21"/>
              </w:rPr>
              <w:t>最大回转半径：</w:t>
            </w:r>
            <w:r>
              <w:rPr>
                <w:sz w:val="21"/>
              </w:rPr>
              <w:t>200mm；</w:t>
            </w:r>
          </w:p>
          <w:p>
            <w:pPr>
              <w:jc w:val="left"/>
            </w:pPr>
            <w:r>
              <w:rPr>
                <w:sz w:val="21"/>
              </w:rPr>
              <w:t>启动风速：</w:t>
            </w:r>
            <w:r>
              <w:rPr>
                <w:sz w:val="21"/>
              </w:rPr>
              <w:t>≤0.</w:t>
            </w:r>
            <w:r>
              <w:rPr>
                <w:sz w:val="21"/>
              </w:rPr>
              <w:t>5</w:t>
            </w:r>
            <w:r>
              <w:rPr>
                <w:sz w:val="21"/>
              </w:rPr>
              <w:t>m/s；</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5</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风速传感器</w:t>
            </w:r>
          </w:p>
        </w:tc>
        <w:tc>
          <w:tcPr>
            <w:tcW w:type="dxa" w:w="5477"/>
            <w:tcBorders>
              <w:top w:val="none" w:color="000000" w:sz="4"/>
              <w:left w:val="single" w:color="000000" w:sz="4"/>
              <w:bottom w:val="single" w:color="000000" w:sz="4"/>
              <w:right w:val="single" w:color="000000" w:sz="4"/>
            </w:tcBorders>
            <w:vAlign w:val="top"/>
          </w:tcPr>
          <w:p>
            <w:pPr>
              <w:jc w:val="left"/>
            </w:pPr>
            <w:r>
              <w:rPr>
                <w:sz w:val="21"/>
              </w:rPr>
              <w:t>测量范围：</w:t>
            </w:r>
            <w:r>
              <w:rPr>
                <w:sz w:val="21"/>
              </w:rPr>
              <w:t>0～</w:t>
            </w:r>
            <w:r>
              <w:rPr>
                <w:sz w:val="21"/>
              </w:rPr>
              <w:t>55</w:t>
            </w:r>
            <w:r>
              <w:rPr>
                <w:sz w:val="21"/>
              </w:rPr>
              <w:t>m/s；</w:t>
            </w:r>
          </w:p>
          <w:p>
            <w:pPr>
              <w:jc w:val="left"/>
            </w:pPr>
            <w:r>
              <w:rPr>
                <w:sz w:val="21"/>
              </w:rPr>
              <w:t>工作环境：</w:t>
            </w:r>
            <w:r>
              <w:rPr>
                <w:sz w:val="21"/>
              </w:rPr>
              <w:t>≤100%RH；</w:t>
            </w:r>
          </w:p>
          <w:p>
            <w:pPr>
              <w:jc w:val="left"/>
            </w:pPr>
            <w:r>
              <w:rPr>
                <w:sz w:val="21"/>
              </w:rPr>
              <w:t>分辨力：</w:t>
            </w:r>
            <w:r>
              <w:rPr>
                <w:sz w:val="21"/>
              </w:rPr>
              <w:t>0.1 m/s；</w:t>
            </w:r>
          </w:p>
          <w:p>
            <w:pPr>
              <w:jc w:val="left"/>
            </w:pPr>
            <w:r>
              <w:rPr>
                <w:sz w:val="21"/>
              </w:rPr>
              <w:t>准确度：</w:t>
            </w:r>
            <w:r>
              <w:rPr>
                <w:sz w:val="21"/>
              </w:rPr>
              <w:t>±（0.</w:t>
            </w:r>
            <w:r>
              <w:rPr>
                <w:sz w:val="21"/>
              </w:rPr>
              <w:t>5</w:t>
            </w:r>
            <w:r>
              <w:rPr>
                <w:sz w:val="21"/>
              </w:rPr>
              <w:t>+0.03V）m/s；</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6</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雨量传感器</w:t>
            </w:r>
          </w:p>
        </w:tc>
        <w:tc>
          <w:tcPr>
            <w:tcW w:type="dxa" w:w="5477"/>
            <w:tcBorders>
              <w:top w:val="none" w:color="000000" w:sz="4"/>
              <w:left w:val="single" w:color="000000" w:sz="4"/>
              <w:bottom w:val="single" w:color="000000" w:sz="4"/>
              <w:right w:val="single" w:color="000000" w:sz="4"/>
            </w:tcBorders>
            <w:vAlign w:val="top"/>
          </w:tcPr>
          <w:p>
            <w:pPr>
              <w:jc w:val="left"/>
            </w:pPr>
            <w:r>
              <w:rPr>
                <w:sz w:val="21"/>
              </w:rPr>
              <w:t>雨强测量范围：</w:t>
            </w:r>
            <w:r>
              <w:rPr>
                <w:sz w:val="21"/>
              </w:rPr>
              <w:t>0～4mm/min；</w:t>
            </w:r>
          </w:p>
          <w:p>
            <w:pPr>
              <w:jc w:val="left"/>
            </w:pPr>
            <w:r>
              <w:rPr>
                <w:sz w:val="21"/>
              </w:rPr>
              <w:t>承水口径：</w:t>
            </w:r>
            <w:r>
              <w:rPr>
                <w:sz w:val="21"/>
              </w:rPr>
              <w:t>Ф200±</w:t>
            </w:r>
            <w:r>
              <w:rPr>
                <w:sz w:val="21"/>
              </w:rPr>
              <w:t>1</w:t>
            </w:r>
            <w:r>
              <w:rPr>
                <w:sz w:val="21"/>
              </w:rPr>
              <w:t>mm；</w:t>
            </w:r>
          </w:p>
          <w:p>
            <w:pPr>
              <w:jc w:val="left"/>
            </w:pPr>
            <w:r>
              <w:rPr>
                <w:sz w:val="21"/>
              </w:rPr>
              <w:t>分辨力：</w:t>
            </w:r>
            <w:r>
              <w:rPr>
                <w:sz w:val="21"/>
              </w:rPr>
              <w:t>0.</w:t>
            </w:r>
            <w:r>
              <w:rPr>
                <w:sz w:val="21"/>
              </w:rPr>
              <w:t>3</w:t>
            </w:r>
            <w:r>
              <w:rPr>
                <w:sz w:val="21"/>
              </w:rPr>
              <w:t xml:space="preserve"> </w:t>
            </w:r>
            <w:r>
              <w:rPr>
                <w:sz w:val="21"/>
              </w:rPr>
              <w:t>mm；</w:t>
            </w:r>
          </w:p>
          <w:p>
            <w:pPr>
              <w:jc w:val="left"/>
            </w:pPr>
            <w:r>
              <w:rPr>
                <w:sz w:val="21"/>
              </w:rPr>
              <w:t>准确度：</w:t>
            </w:r>
            <w:r>
              <w:rPr>
                <w:sz w:val="21"/>
              </w:rPr>
              <w:t>0.4mm（≤10mm）；±</w:t>
            </w:r>
            <w:r>
              <w:rPr>
                <w:sz w:val="21"/>
              </w:rPr>
              <w:t>5</w:t>
            </w:r>
            <w:r>
              <w:rPr>
                <w:sz w:val="21"/>
              </w:rPr>
              <w:t>%（＞10mm）；</w:t>
            </w:r>
          </w:p>
          <w:p>
            <w:pPr>
              <w:jc w:val="left"/>
            </w:pPr>
            <w:r>
              <w:rPr>
                <w:sz w:val="21"/>
              </w:rPr>
              <w:t>平均时间：</w:t>
            </w:r>
            <w:r>
              <w:rPr>
                <w:sz w:val="21"/>
              </w:rPr>
              <w:t>1min；</w:t>
            </w:r>
          </w:p>
          <w:p>
            <w:pPr>
              <w:jc w:val="left"/>
            </w:pPr>
            <w:r>
              <w:rPr>
                <w:sz w:val="21"/>
              </w:rPr>
              <w:t>自动采样速率：</w:t>
            </w:r>
            <w:r>
              <w:rPr>
                <w:sz w:val="21"/>
              </w:rPr>
              <w:t>1次/min；</w:t>
            </w:r>
          </w:p>
          <w:p>
            <w:pPr>
              <w:jc w:val="left"/>
            </w:pPr>
            <w:r>
              <w:rPr>
                <w:sz w:val="21"/>
              </w:rPr>
              <w:t>输出信号：单干式舌簧管通断；</w:t>
            </w:r>
          </w:p>
          <w:p>
            <w:pPr>
              <w:jc w:val="left"/>
            </w:pPr>
            <w:r>
              <w:rPr>
                <w:sz w:val="21"/>
              </w:rPr>
              <w:t>供电电源：</w:t>
            </w:r>
            <w:r>
              <w:rPr>
                <w:sz w:val="21"/>
              </w:rPr>
              <w:t>5V</w:t>
            </w:r>
            <w:r>
              <w:rPr>
                <w:sz w:val="21"/>
              </w:rPr>
              <w:t>、</w:t>
            </w:r>
            <w:r>
              <w:rPr>
                <w:sz w:val="21"/>
              </w:rPr>
              <w:t>12V</w:t>
            </w:r>
            <w:r>
              <w:rPr>
                <w:sz w:val="21"/>
              </w:rPr>
              <w:t>；</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7</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气温测量传感器</w:t>
            </w:r>
          </w:p>
        </w:tc>
        <w:tc>
          <w:tcPr>
            <w:tcW w:type="dxa" w:w="5477"/>
            <w:tcBorders>
              <w:top w:val="none" w:color="000000" w:sz="4"/>
              <w:left w:val="single" w:color="000000" w:sz="4"/>
              <w:bottom w:val="single" w:color="000000" w:sz="4"/>
              <w:right w:val="single" w:color="000000" w:sz="4"/>
            </w:tcBorders>
            <w:vAlign w:val="top"/>
          </w:tcPr>
          <w:p>
            <w:pPr>
              <w:jc w:val="left"/>
            </w:pPr>
            <w:r>
              <w:rPr>
                <w:sz w:val="21"/>
              </w:rPr>
              <w:t>温度测量传感器采用铂电阻温度传感器，并采用</w:t>
            </w:r>
            <w:r>
              <w:rPr>
                <w:sz w:val="21"/>
              </w:rPr>
              <w:t>ITS-90温标。</w:t>
            </w:r>
          </w:p>
          <w:p>
            <w:pPr>
              <w:jc w:val="left"/>
            </w:pPr>
            <w:r>
              <w:rPr>
                <w:sz w:val="21"/>
              </w:rPr>
              <w:t>测量范围：</w:t>
            </w:r>
            <w:r>
              <w:rPr>
                <w:sz w:val="21"/>
              </w:rPr>
              <w:t>-50～+50℃；</w:t>
            </w:r>
          </w:p>
          <w:p>
            <w:pPr>
              <w:jc w:val="left"/>
            </w:pPr>
            <w:r>
              <w:rPr>
                <w:sz w:val="21"/>
              </w:rPr>
              <w:t>工作环境：</w:t>
            </w:r>
            <w:r>
              <w:rPr>
                <w:sz w:val="21"/>
              </w:rPr>
              <w:t>-50～+</w:t>
            </w:r>
            <w:r>
              <w:rPr>
                <w:sz w:val="21"/>
              </w:rPr>
              <w:t>70</w:t>
            </w:r>
            <w:r>
              <w:rPr>
                <w:sz w:val="21"/>
              </w:rPr>
              <w:t>℃；</w:t>
            </w:r>
          </w:p>
          <w:p>
            <w:pPr>
              <w:jc w:val="left"/>
            </w:pPr>
            <w:r>
              <w:rPr>
                <w:sz w:val="21"/>
              </w:rPr>
              <w:t>分辨力：</w:t>
            </w:r>
            <w:r>
              <w:rPr>
                <w:sz w:val="21"/>
              </w:rPr>
              <w:t>0.1℃（准确度  ±0.</w:t>
            </w:r>
            <w:r>
              <w:rPr>
                <w:sz w:val="21"/>
              </w:rPr>
              <w:t>3</w:t>
            </w:r>
            <w:r>
              <w:rPr>
                <w:sz w:val="21"/>
              </w:rPr>
              <w:t>℃时）；</w:t>
            </w:r>
          </w:p>
          <w:p>
            <w:pPr>
              <w:jc w:val="left"/>
            </w:pPr>
            <w:r>
              <w:rPr>
                <w:sz w:val="21"/>
              </w:rPr>
              <w:t>准确度：</w:t>
            </w:r>
            <w:r>
              <w:rPr>
                <w:sz w:val="21"/>
              </w:rPr>
              <w:t>±0.</w:t>
            </w:r>
            <w:r>
              <w:rPr>
                <w:sz w:val="21"/>
              </w:rPr>
              <w:t>3</w:t>
            </w:r>
            <w:r>
              <w:rPr>
                <w:sz w:val="21"/>
              </w:rPr>
              <w:t>℃；</w:t>
            </w:r>
          </w:p>
          <w:p>
            <w:pPr>
              <w:jc w:val="left"/>
            </w:pPr>
            <w:r>
              <w:rPr>
                <w:sz w:val="21"/>
              </w:rPr>
              <w:t>平均时间：</w:t>
            </w:r>
            <w:r>
              <w:rPr>
                <w:sz w:val="21"/>
              </w:rPr>
              <w:t>1min；</w:t>
            </w:r>
          </w:p>
          <w:p>
            <w:pPr>
              <w:jc w:val="left"/>
            </w:pPr>
            <w:r>
              <w:rPr>
                <w:sz w:val="21"/>
              </w:rPr>
              <w:t>自动采样速率：</w:t>
            </w:r>
            <w:r>
              <w:rPr>
                <w:sz w:val="21"/>
              </w:rPr>
              <w:t>5</w:t>
            </w:r>
            <w:r>
              <w:rPr>
                <w:sz w:val="21"/>
              </w:rPr>
              <w:t>次</w:t>
            </w:r>
            <w:r>
              <w:rPr>
                <w:sz w:val="21"/>
              </w:rPr>
              <w:t>/min；</w:t>
            </w:r>
          </w:p>
          <w:p>
            <w:pPr>
              <w:jc w:val="both"/>
            </w:pPr>
            <w:r>
              <w:rPr>
                <w:sz w:val="21"/>
              </w:rPr>
              <w:t>供电电源：</w:t>
            </w:r>
            <w:r>
              <w:rPr>
                <w:sz w:val="21"/>
              </w:rPr>
              <w:t>5V</w:t>
            </w:r>
            <w:r>
              <w:rPr>
                <w:sz w:val="21"/>
              </w:rPr>
              <w:t>、</w:t>
            </w:r>
            <w:r>
              <w:rPr>
                <w:sz w:val="21"/>
              </w:rPr>
              <w:t>12V</w:t>
            </w:r>
            <w:r>
              <w:rPr>
                <w:sz w:val="21"/>
              </w:rPr>
              <w:t>；</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8</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空气湿度测量传感器</w:t>
            </w:r>
          </w:p>
        </w:tc>
        <w:tc>
          <w:tcPr>
            <w:tcW w:type="dxa" w:w="5477"/>
            <w:tcBorders>
              <w:top w:val="none" w:color="000000" w:sz="4"/>
              <w:left w:val="single" w:color="000000" w:sz="4"/>
              <w:bottom w:val="single" w:color="000000" w:sz="4"/>
              <w:right w:val="single" w:color="000000" w:sz="4"/>
            </w:tcBorders>
            <w:vAlign w:val="top"/>
          </w:tcPr>
          <w:p>
            <w:pPr>
              <w:jc w:val="left"/>
            </w:pPr>
            <w:r>
              <w:rPr>
                <w:sz w:val="21"/>
              </w:rPr>
              <w:t>测量范围：</w:t>
            </w:r>
            <w:r>
              <w:rPr>
                <w:sz w:val="21"/>
              </w:rPr>
              <w:t>0%～100%RH；</w:t>
            </w:r>
          </w:p>
          <w:p>
            <w:pPr>
              <w:jc w:val="left"/>
            </w:pPr>
            <w:r>
              <w:rPr>
                <w:sz w:val="21"/>
              </w:rPr>
              <w:t>工作环境：</w:t>
            </w:r>
            <w:r>
              <w:rPr>
                <w:sz w:val="21"/>
              </w:rPr>
              <w:t>-40～+50℃、≤100%RH；</w:t>
            </w:r>
          </w:p>
          <w:p>
            <w:pPr>
              <w:jc w:val="left"/>
            </w:pPr>
            <w:r>
              <w:rPr>
                <w:sz w:val="21"/>
              </w:rPr>
              <w:t>分辨力：</w:t>
            </w:r>
            <w:r>
              <w:rPr>
                <w:sz w:val="21"/>
              </w:rPr>
              <w:t>2</w:t>
            </w:r>
            <w:r>
              <w:rPr>
                <w:sz w:val="21"/>
              </w:rPr>
              <w:t>%RH；</w:t>
            </w:r>
          </w:p>
          <w:p>
            <w:pPr>
              <w:jc w:val="left"/>
            </w:pPr>
            <w:r>
              <w:rPr>
                <w:sz w:val="21"/>
              </w:rPr>
              <w:t>准确度：</w:t>
            </w:r>
            <w:r>
              <w:rPr>
                <w:sz w:val="21"/>
              </w:rPr>
              <w:t>±</w:t>
            </w:r>
            <w:r>
              <w:rPr>
                <w:sz w:val="21"/>
              </w:rPr>
              <w:t>5</w:t>
            </w:r>
            <w:r>
              <w:rPr>
                <w:sz w:val="21"/>
              </w:rPr>
              <w:t>%RH（≤80%），±</w:t>
            </w:r>
            <w:r>
              <w:rPr>
                <w:sz w:val="21"/>
              </w:rPr>
              <w:t>10</w:t>
            </w:r>
            <w:r>
              <w:rPr>
                <w:sz w:val="21"/>
              </w:rPr>
              <w:t>%RH（＞80%）；</w:t>
            </w:r>
          </w:p>
          <w:p>
            <w:pPr>
              <w:jc w:val="left"/>
            </w:pPr>
            <w:r>
              <w:rPr>
                <w:sz w:val="21"/>
              </w:rPr>
              <w:t>平均时间：</w:t>
            </w:r>
            <w:r>
              <w:rPr>
                <w:sz w:val="21"/>
              </w:rPr>
              <w:t>1min；</w:t>
            </w:r>
          </w:p>
          <w:p>
            <w:pPr>
              <w:jc w:val="left"/>
            </w:pPr>
            <w:r>
              <w:rPr>
                <w:sz w:val="21"/>
              </w:rPr>
              <w:t>自动采样速率：</w:t>
            </w:r>
            <w:r>
              <w:rPr>
                <w:sz w:val="21"/>
              </w:rPr>
              <w:t>5</w:t>
            </w:r>
            <w:r>
              <w:rPr>
                <w:sz w:val="21"/>
              </w:rPr>
              <w:t>次</w:t>
            </w:r>
            <w:r>
              <w:rPr>
                <w:sz w:val="21"/>
              </w:rPr>
              <w:t>/min；</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9</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土壤温湿度传感器</w:t>
            </w:r>
          </w:p>
        </w:tc>
        <w:tc>
          <w:tcPr>
            <w:tcW w:type="dxa" w:w="5477"/>
            <w:tcBorders>
              <w:top w:val="none" w:color="000000" w:sz="4"/>
              <w:left w:val="single" w:color="000000" w:sz="4"/>
              <w:bottom w:val="single" w:color="000000" w:sz="4"/>
              <w:right w:val="single" w:color="000000" w:sz="4"/>
            </w:tcBorders>
            <w:vAlign w:val="top"/>
          </w:tcPr>
          <w:p>
            <w:pPr>
              <w:jc w:val="left"/>
            </w:pPr>
            <w:r>
              <w:rPr>
                <w:sz w:val="21"/>
              </w:rPr>
              <w:t>水分量程：</w:t>
            </w:r>
            <w:r>
              <w:rPr>
                <w:sz w:val="21"/>
              </w:rPr>
              <w:t>0～100% 精度：0-50%范围内±</w:t>
            </w:r>
            <w:r>
              <w:rPr>
                <w:sz w:val="21"/>
              </w:rPr>
              <w:t>5</w:t>
            </w:r>
            <w:r>
              <w:rPr>
                <w:sz w:val="21"/>
              </w:rPr>
              <w:t>%</w:t>
            </w:r>
          </w:p>
          <w:p>
            <w:pPr>
              <w:jc w:val="left"/>
            </w:pPr>
            <w:r>
              <w:rPr>
                <w:sz w:val="21"/>
              </w:rPr>
              <w:t>温度量程：</w:t>
            </w:r>
            <w:r>
              <w:rPr>
                <w:sz w:val="21"/>
              </w:rPr>
              <w:t>-30～70℃ 精度：±</w:t>
            </w:r>
            <w:r>
              <w:rPr>
                <w:sz w:val="21"/>
              </w:rPr>
              <w:t>4</w:t>
            </w:r>
            <w:r>
              <w:rPr>
                <w:sz w:val="21"/>
              </w:rPr>
              <w:t>℃</w:t>
            </w:r>
          </w:p>
          <w:p>
            <w:pPr>
              <w:jc w:val="left"/>
            </w:pPr>
            <w:r>
              <w:rPr>
                <w:sz w:val="21"/>
              </w:rPr>
              <w:t>工作温度范围：</w:t>
            </w:r>
            <w:r>
              <w:rPr>
                <w:sz w:val="21"/>
              </w:rPr>
              <w:t>-30～70℃</w:t>
            </w:r>
          </w:p>
          <w:p>
            <w:pPr>
              <w:jc w:val="left"/>
            </w:pPr>
            <w:r>
              <w:rPr>
                <w:sz w:val="21"/>
              </w:rPr>
              <w:t>稳定时间：</w:t>
            </w:r>
            <w:r>
              <w:rPr>
                <w:sz w:val="21"/>
              </w:rPr>
              <w:t>&lt;1秒</w:t>
            </w:r>
          </w:p>
          <w:p>
            <w:pPr>
              <w:jc w:val="left"/>
            </w:pPr>
            <w:r>
              <w:rPr>
                <w:sz w:val="21"/>
              </w:rPr>
              <w:t>响应时间：</w:t>
            </w:r>
            <w:r>
              <w:rPr>
                <w:sz w:val="21"/>
              </w:rPr>
              <w:t>&lt;1秒</w:t>
            </w:r>
          </w:p>
        </w:tc>
      </w:tr>
      <w:tr>
        <w:tc>
          <w:tcPr>
            <w:tcW w:type="dxa" w:w="843"/>
            <w:tcBorders>
              <w:top w:val="none" w:color="000000" w:sz="4"/>
              <w:left w:val="single" w:color="000000" w:sz="4"/>
              <w:bottom w:val="single" w:color="000000" w:sz="4"/>
              <w:right w:val="single" w:color="000000" w:sz="4"/>
            </w:tcBorders>
            <w:vAlign w:val="top"/>
          </w:tcPr>
          <w:p>
            <w:pPr>
              <w:jc w:val="both"/>
            </w:pPr>
            <w:r>
              <w:rPr>
                <w:sz w:val="21"/>
              </w:rPr>
              <w:t>10</w:t>
            </w:r>
          </w:p>
        </w:tc>
        <w:tc>
          <w:tcPr>
            <w:tcW w:type="dxa" w:w="1986"/>
            <w:tcBorders>
              <w:top w:val="none" w:color="000000" w:sz="4"/>
              <w:left w:val="single" w:color="000000" w:sz="4"/>
              <w:bottom w:val="single" w:color="000000" w:sz="4"/>
              <w:right w:val="single" w:color="000000" w:sz="4"/>
            </w:tcBorders>
            <w:vAlign w:val="top"/>
          </w:tcPr>
          <w:p>
            <w:pPr>
              <w:jc w:val="both"/>
            </w:pPr>
            <w:r>
              <w:rPr>
                <w:sz w:val="21"/>
              </w:rPr>
              <w:t>一体化支臂款支架</w:t>
            </w:r>
          </w:p>
        </w:tc>
        <w:tc>
          <w:tcPr>
            <w:tcW w:type="dxa" w:w="5477"/>
            <w:tcBorders>
              <w:top w:val="none" w:color="000000" w:sz="4"/>
              <w:left w:val="single" w:color="000000" w:sz="4"/>
              <w:bottom w:val="single" w:color="000000" w:sz="4"/>
              <w:right w:val="single" w:color="000000" w:sz="4"/>
            </w:tcBorders>
            <w:vAlign w:val="top"/>
          </w:tcPr>
          <w:p>
            <w:pPr>
              <w:jc w:val="both"/>
            </w:pPr>
            <w:r>
              <w:rPr>
                <w:sz w:val="21"/>
              </w:rPr>
              <w:t>（</w:t>
            </w:r>
            <w:r>
              <w:rPr>
                <w:sz w:val="21"/>
              </w:rPr>
              <w:t>1）材质: 镀锌钢铁支架；</w:t>
            </w:r>
          </w:p>
          <w:p>
            <w:pPr>
              <w:jc w:val="both"/>
            </w:pPr>
            <w:r>
              <w:rPr>
                <w:sz w:val="21"/>
              </w:rPr>
              <w:t>（</w:t>
            </w:r>
            <w:r>
              <w:rPr>
                <w:sz w:val="21"/>
              </w:rPr>
              <w:t>2）安装方式:抱杆安装</w:t>
            </w:r>
          </w:p>
        </w:tc>
      </w:tr>
    </w:tbl>
    <w:p>
      <w:pPr>
        <w:jc w:val="center"/>
      </w:pPr>
    </w:p>
    <w:p>
      <w:pPr>
        <w:jc w:val="both"/>
      </w:pPr>
      <w:r>
        <w:rPr>
          <w:b/>
          <w:color w:val="000000"/>
          <w:sz w:val="21"/>
        </w:rPr>
        <w:t>四</w:t>
      </w:r>
      <w:r>
        <w:rPr>
          <w:b/>
          <w:color w:val="000000"/>
          <w:sz w:val="21"/>
        </w:rPr>
        <w:t>、商务要求</w:t>
      </w:r>
    </w:p>
    <w:p>
      <w:pPr>
        <w:ind w:firstLine="420"/>
        <w:jc w:val="both"/>
      </w:pPr>
      <w:r>
        <w:rPr>
          <w:color w:val="000000"/>
          <w:sz w:val="21"/>
        </w:rPr>
        <w:t>成交供应商需提供一年的服务（有特殊要求的除外），服务期内提供免费技术服务及热线电话服务。服务期内，如果系统（含监测站点、监测设备）发生故障，接到报修电话后需</w:t>
      </w:r>
      <w:r>
        <w:rPr>
          <w:color w:val="000000"/>
          <w:sz w:val="21"/>
        </w:rPr>
        <w:t>30分钟内做出响应，维修人员应在6小时内到达现场，并于24小时内排除故障。供应商在</w:t>
      </w:r>
      <w:r>
        <w:rPr>
          <w:color w:val="000000"/>
          <w:sz w:val="21"/>
        </w:rPr>
        <w:t>响应</w:t>
      </w:r>
      <w:r>
        <w:rPr>
          <w:color w:val="000000"/>
          <w:sz w:val="21"/>
        </w:rPr>
        <w:t>文件中必须对上述售后服务内容做明确说明。</w:t>
      </w:r>
    </w:p>
    <w:p>
      <w:pPr>
        <w:jc w:val="both"/>
      </w:pPr>
    </w:p>
    <w:p/>
    <w:p>
      <w:r>
        <w:rPr>
          <w:b/>
          <w:color w:val="000000"/>
          <w:sz w:val="21"/>
        </w:rPr>
        <w:t>五、验收要求</w:t>
      </w:r>
    </w:p>
    <w:p>
      <w:pPr>
        <w:ind w:firstLine="420"/>
        <w:jc w:val="both"/>
      </w:pPr>
      <w:r>
        <w:rPr>
          <w:sz w:val="21"/>
        </w:rPr>
        <w:t>由成交供应商提出验收申请并按照采购人的要求完成对监测站点的</w:t>
      </w:r>
      <w:r>
        <w:rPr>
          <w:color w:val="000000"/>
          <w:sz w:val="21"/>
        </w:rPr>
        <w:t>维护维修</w:t>
      </w:r>
      <w:r>
        <w:rPr>
          <w:color w:val="000000"/>
          <w:sz w:val="21"/>
        </w:rPr>
        <w:t>后</w:t>
      </w:r>
      <w:r>
        <w:rPr>
          <w:sz w:val="21"/>
        </w:rPr>
        <w:t>，采购人根据国家有关规定、规范及磋商文件的要求、响应文件的相关承诺和相关合同的规定进行项目验收，成交供应商负责验收的相关准备工作，所产生与验收工作相关的费用由成交供应商承担。</w:t>
      </w:r>
    </w:p>
    <w:p>
      <w:pPr>
        <w:jc w:val="both"/>
      </w:pPr>
    </w:p>
    <w:p>
      <w:pPr>
        <w:jc w:val="both"/>
      </w:pPr>
      <w:r>
        <w:rPr>
          <w:b/>
          <w:color w:val="000000"/>
          <w:sz w:val="21"/>
        </w:rPr>
        <w:t>六</w:t>
      </w:r>
      <w:r>
        <w:rPr>
          <w:b/>
          <w:color w:val="000000"/>
          <w:sz w:val="21"/>
        </w:rPr>
        <w:t>、付款方式</w:t>
      </w:r>
    </w:p>
    <w:p>
      <w:pPr>
        <w:jc w:val="both"/>
      </w:pPr>
    </w:p>
    <w:p>
      <w:pPr>
        <w:ind w:firstLine="420"/>
        <w:jc w:val="both"/>
      </w:pPr>
      <w:r>
        <w:rPr>
          <w:color w:val="000000"/>
          <w:sz w:val="21"/>
        </w:rPr>
        <w:t>1、合同签订后15个工作日内，成交供应商向采购人提交</w:t>
      </w:r>
      <w:r>
        <w:rPr>
          <w:color w:val="000000"/>
          <w:sz w:val="21"/>
        </w:rPr>
        <w:t>项目进度情况</w:t>
      </w:r>
      <w:r>
        <w:rPr>
          <w:color w:val="000000"/>
          <w:sz w:val="21"/>
        </w:rPr>
        <w:t>及付款申请，并提供等额增值税发票与合同总额</w:t>
      </w:r>
      <w:r>
        <w:rPr>
          <w:color w:val="000000"/>
          <w:sz w:val="21"/>
        </w:rPr>
        <w:t>5%的履约保函（保函期限至项目服务期结束）。采购人在收到实施计划、付款申请</w:t>
      </w:r>
      <w:r>
        <w:rPr>
          <w:color w:val="000000"/>
          <w:sz w:val="21"/>
        </w:rPr>
        <w:t>、</w:t>
      </w:r>
      <w:r>
        <w:rPr>
          <w:color w:val="000000"/>
          <w:sz w:val="21"/>
        </w:rPr>
        <w:t>发票</w:t>
      </w:r>
      <w:r>
        <w:rPr>
          <w:color w:val="000000"/>
          <w:sz w:val="21"/>
        </w:rPr>
        <w:t>和履约保函</w:t>
      </w:r>
      <w:r>
        <w:rPr>
          <w:color w:val="000000"/>
          <w:sz w:val="21"/>
        </w:rPr>
        <w:t>后</w:t>
      </w:r>
      <w:r>
        <w:rPr>
          <w:color w:val="000000"/>
          <w:sz w:val="21"/>
        </w:rPr>
        <w:t>5个工作日内启动付款流程，向成交供应商支付合同金额的50%；</w:t>
      </w:r>
    </w:p>
    <w:p>
      <w:pPr>
        <w:ind w:firstLine="420"/>
        <w:jc w:val="both"/>
      </w:pPr>
      <w:r>
        <w:rPr>
          <w:color w:val="000000"/>
          <w:sz w:val="21"/>
        </w:rPr>
        <w:t>2、202</w:t>
      </w:r>
      <w:r>
        <w:rPr>
          <w:color w:val="000000"/>
          <w:sz w:val="21"/>
        </w:rPr>
        <w:t>3</w:t>
      </w:r>
      <w:r>
        <w:rPr>
          <w:color w:val="000000"/>
          <w:sz w:val="21"/>
        </w:rPr>
        <w:t>年</w:t>
      </w:r>
      <w:r>
        <w:rPr>
          <w:color w:val="000000"/>
          <w:sz w:val="21"/>
        </w:rPr>
        <w:t>10</w:t>
      </w:r>
      <w:r>
        <w:rPr>
          <w:color w:val="000000"/>
          <w:sz w:val="21"/>
        </w:rPr>
        <w:t>月，成交供应商向采购人提交</w:t>
      </w:r>
      <w:r>
        <w:rPr>
          <w:color w:val="000000"/>
          <w:sz w:val="21"/>
        </w:rPr>
        <w:t>项目进度情况</w:t>
      </w:r>
      <w:r>
        <w:rPr>
          <w:color w:val="000000"/>
          <w:sz w:val="21"/>
        </w:rPr>
        <w:t>及付款申请，并提供等额增值税发票。采购人在收到实施计划、付款申请和发票后</w:t>
      </w:r>
      <w:r>
        <w:rPr>
          <w:color w:val="000000"/>
          <w:sz w:val="21"/>
        </w:rPr>
        <w:t>5个工作日内启动付款流程，向成交供应商支付合同金额的</w:t>
      </w:r>
      <w:r>
        <w:rPr>
          <w:color w:val="000000"/>
          <w:sz w:val="21"/>
        </w:rPr>
        <w:t>3</w:t>
      </w:r>
      <w:r>
        <w:rPr>
          <w:color w:val="000000"/>
          <w:sz w:val="21"/>
        </w:rPr>
        <w:t>0%；</w:t>
      </w:r>
    </w:p>
    <w:p>
      <w:pPr>
        <w:ind w:firstLine="420"/>
        <w:jc w:val="both"/>
      </w:pPr>
      <w:r>
        <w:rPr>
          <w:color w:val="000000"/>
          <w:sz w:val="21"/>
        </w:rPr>
        <w:t>3、202</w:t>
      </w:r>
      <w:r>
        <w:rPr>
          <w:color w:val="000000"/>
          <w:sz w:val="21"/>
        </w:rPr>
        <w:t>3</w:t>
      </w:r>
      <w:r>
        <w:rPr>
          <w:color w:val="000000"/>
          <w:sz w:val="21"/>
        </w:rPr>
        <w:t>年</w:t>
      </w:r>
      <w:r>
        <w:rPr>
          <w:color w:val="000000"/>
          <w:sz w:val="21"/>
        </w:rPr>
        <w:t>1</w:t>
      </w:r>
      <w:r>
        <w:rPr>
          <w:color w:val="000000"/>
          <w:sz w:val="21"/>
        </w:rPr>
        <w:t>2</w:t>
      </w:r>
      <w:r>
        <w:rPr>
          <w:color w:val="000000"/>
          <w:sz w:val="21"/>
        </w:rPr>
        <w:t>月，成交供应商向采购人提供等额增值税发票后</w:t>
      </w:r>
      <w:r>
        <w:rPr>
          <w:color w:val="000000"/>
          <w:sz w:val="21"/>
        </w:rPr>
        <w:t>5个</w:t>
      </w:r>
      <w:r>
        <w:rPr>
          <w:color w:val="000000"/>
          <w:sz w:val="21"/>
        </w:rPr>
        <w:t>工作日内，采购人向成交供应商支付合同金额的</w:t>
      </w:r>
      <w:r>
        <w:rPr>
          <w:color w:val="000000"/>
          <w:sz w:val="21"/>
        </w:rPr>
        <w:t>2</w:t>
      </w:r>
      <w:r>
        <w:rPr>
          <w:color w:val="000000"/>
          <w:sz w:val="21"/>
        </w:rPr>
        <w:t>0%。</w:t>
      </w:r>
    </w:p>
    <w:p>
      <w:pPr>
        <w:ind w:firstLine="420"/>
        <w:jc w:val="both"/>
      </w:pPr>
      <w:r>
        <w:rPr>
          <w:color w:val="000000"/>
          <w:sz w:val="21"/>
        </w:rPr>
        <w:t>因采购人使用的是财政资金，采购人在前款规定的付款时间为向政府采购支付部门提出办理财政支付申请手续的时间（不含政府采购支付部门审核的时间），采购人在规定时间内提出支付申请手续后即视为采购人已经按期支付，成交供应商不得以此为由迟延履行或不履行合同。</w:t>
      </w:r>
    </w:p>
    <w:p/>
    <w:p>
      <w:r>
        <w:rPr/>
        <w:t xml:space="preserve"> </w:t>
      </w:r>
    </w:p>
    <w:p/>
    <w:p>
      <w:pPr>
        <w:ind w:firstLine="480"/>
      </w:pPr>
    </w:p>
    <w:p/>
    <w:p>
      <w:r>
        <w:rPr/>
        <w:t>采购包1（广东省森林火险预警监测系统维护维修技术支撑项目）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1期：支付比例100%,详见《第二章采购需求》。</w:t>
            </w:r>
          </w:p>
        </w:tc>
      </w:tr>
      <w:tr>
        <w:tc>
          <w:tcPr>
            <w:tcW w:type="dxa" w:w="4153"/>
          </w:tcPr>
          <w:p>
            <w:r>
              <w:rPr/>
              <w:t>验收要求</w:t>
            </w:r>
          </w:p>
        </w:tc>
        <w:tc>
          <w:tcPr>
            <w:tcW w:type="dxa" w:w="4153"/>
          </w:tcPr>
          <w:p/>
          <w:p/>
          <w:p/>
          <w:p>
            <w:r>
              <w:rPr/>
              <w:t>1期：详见《第二章采购需求》。</w:t>
            </w:r>
          </w:p>
        </w:tc>
      </w:tr>
      <w:tr>
        <w:tc>
          <w:tcPr>
            <w:tcW w:type="dxa" w:w="4153"/>
          </w:tcPr>
          <w:p>
            <w:r>
              <w:rPr/>
              <w:t>履约保证金</w:t>
            </w:r>
          </w:p>
        </w:tc>
        <w:tc>
          <w:tcPr>
            <w:tcW w:type="dxa" w:w="4153"/>
          </w:tcPr>
          <w:p/>
          <w:p/>
          <w:p/>
          <w:p/>
          <w:p>
            <w:r>
              <w:rPr/>
              <w:t>收取比例：5%,说明：详见《第二章采购需求》。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森林防火服务</w:t>
            </w:r>
          </w:p>
        </w:tc>
        <w:tc>
          <w:tcPr>
            <w:tcW w:type="dxa" w:w="933"/>
          </w:tcPr>
          <w:p>
            <w:pPr>
              <w:jc w:val="left"/>
            </w:pPr>
            <w:r>
              <w:rPr/>
              <w:t>广东省森林火险预警监测系统维护维修技术支撑项目</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广东省森林火险预警监测系统维护维修技术支撑项目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1.采购代理机构：本项目是指广东广招招标采购有限公司，负责整个采购活动的组织，依法负责编制和发布磋商文件，对磋商文件拥有最终的解释权，不以任何身份出任磋商小组成员。</w:t>
      </w:r>
    </w:p>
    <w:p>
      <w:pPr>
        <w:ind w:firstLine="480"/>
      </w:pPr>
      <w:r>
        <w:rPr/>
        <w:t>2.采购人：本项目是指</w:t>
      </w:r>
      <w:r>
        <w:rPr/>
        <w:t>广东省航空护林站（广东省林火卫星监测中心）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参照《中华人民共和国国家计划委员会关于印发&lt;招标代理服务收费管理暂行办法&gt;的通知》（计价格〔2002〕1980号）的“服务类”标准计算，以本项目的采购预算作为收费的计算依据，经计算得出成交服务费低于5000元的按5000元定额收取。 采购代理机构收款人、开户行及帐号如下： 收款人：广东广招招标采购有限公司 开户行：中国工商银行广州市东城支行 账号：3602031409200624988</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广东广招招标采购有限公司</w:t>
      </w:r>
      <w:r>
        <w:rPr/>
        <w:t>代收。具体操作要求详见</w:t>
      </w:r>
      <w:r>
        <w:rPr/>
        <w:t>广东广招招标采购有限公司</w:t>
      </w:r>
      <w:r>
        <w:rPr/>
        <w:t>有关指引，递交事宜请自行咨询</w:t>
      </w:r>
      <w:r>
        <w:rPr/>
        <w:t>广东广招招标采购有限公司</w:t>
      </w:r>
      <w:r>
        <w:rPr/>
        <w:t>；请各供应商在响应文件递交截止时间前按须知前附表规定的金额递交至</w:t>
      </w:r>
      <w:r>
        <w:rPr/>
        <w:t>广东广招招标采购有限公司</w:t>
      </w:r>
      <w:r>
        <w:rPr/>
        <w:t>，到账情况以开启时</w:t>
      </w:r>
      <w:r>
        <w:rPr/>
        <w:t>广东广招招标采购有限公司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广东广招招标采购有限公司网（http://www.gztpc.com）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广东广招招标采购有限公司网（http://www.gztpc.com）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张工</w:t>
      </w:r>
    </w:p>
    <w:p>
      <w:pPr>
        <w:ind w:firstLine="480"/>
      </w:pPr>
      <w:r>
        <w:rPr/>
        <w:t>电话：</w:t>
      </w:r>
      <w:r>
        <w:rPr/>
        <w:t>020-37816286-821</w:t>
      </w:r>
    </w:p>
    <w:p>
      <w:pPr>
        <w:ind w:firstLine="480"/>
      </w:pPr>
      <w:r>
        <w:rPr/>
        <w:t>传真：</w:t>
      </w:r>
      <w:r>
        <w:rPr/>
        <w:t>020-37816137</w:t>
      </w:r>
    </w:p>
    <w:p>
      <w:pPr>
        <w:ind w:firstLine="480"/>
      </w:pPr>
      <w:r>
        <w:rPr/>
        <w:t>邮箱：</w:t>
      </w:r>
      <w:r>
        <w:rPr/>
        <w:t>zhangwei@gztpc.com</w:t>
      </w:r>
    </w:p>
    <w:p>
      <w:pPr>
        <w:ind w:firstLine="480"/>
      </w:pPr>
      <w:r>
        <w:rPr/>
        <w:t>地址：</w:t>
      </w:r>
      <w:r>
        <w:rPr/>
        <w:t>广州市东风东路745号东山紫园商务大厦2003单元</w:t>
      </w:r>
    </w:p>
    <w:p>
      <w:pPr>
        <w:ind w:firstLine="480"/>
      </w:pPr>
      <w:r>
        <w:rPr/>
        <w:t>邮编：</w:t>
      </w:r>
      <w:r>
        <w:rPr/>
        <w:t>510062</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森林火险预警监测系统维护维修技术支撑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广东广招招标采购有限公司</w:t>
      </w:r>
      <w:r>
        <w:rPr/>
        <w:t>统一对外发布。</w:t>
      </w:r>
    </w:p>
    <w:p>
      <w:pPr>
        <w:ind w:firstLine="480"/>
      </w:pPr>
      <w:r>
        <w:rPr/>
        <w:t>（2）对</w:t>
      </w:r>
      <w:r>
        <w:rPr/>
        <w:t>广东广招招标采购有限公司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采购包1（广东省森林火险预警监测系统维护维修技术支撑项目）：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采购包1（广东省森林火险预警监测系统维护维修技术支撑项目）：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提供2021年度财务状况报告或2022年度财务状况报告或2023年1月至今任意一个月的财务报表复印件；或银行出具的资信证明材料复印件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项目属于专门面向中小企业采购的项目，全部服务的承接方应为中小企业（监狱企业、残疾人福利单位视同小型、微型企业）【依据《中小企业声明函》或由省级以上监狱管理局、戒毒管理局(含新疆生产建设兵团)出具的承接方属于监狱企业的证明文件或承接方的《残疾人福利性单位声明函》】。</w:t>
            </w:r>
          </w:p>
        </w:tc>
      </w:tr>
    </w:tbl>
    <w:p/>
    <w:p>
      <w:pPr>
        <w:ind w:firstLine="480"/>
      </w:pPr>
      <w:r>
        <w:rPr/>
        <w:t>表二符合性审查表：</w:t>
      </w:r>
    </w:p>
    <w:p>
      <w:pPr>
        <w:ind w:firstLine="480"/>
      </w:pPr>
    </w:p>
    <w:p/>
    <w:p>
      <w:r>
        <w:rPr/>
        <w:t>采购包1（广东省森林火险预警监测系统维护维修技术支撑项目）：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按照采购文件规定要求签署和盖章的；</w:t>
            </w:r>
          </w:p>
        </w:tc>
        <w:tc>
          <w:tcPr>
            <w:tcW w:type="dxa" w:w="4238"/>
          </w:tcPr>
          <w:p>
            <w:r>
              <w:rPr/>
              <w:t>按照采购文件规定要求签署和盖章的；</w:t>
            </w:r>
          </w:p>
        </w:tc>
      </w:tr>
      <w:tr>
        <w:tc>
          <w:tcPr>
            <w:tcW w:type="dxa" w:w="890"/>
          </w:tcPr>
          <w:p>
            <w:r>
              <w:rPr/>
              <w:t>2</w:t>
            </w:r>
          </w:p>
        </w:tc>
        <w:tc>
          <w:tcPr>
            <w:tcW w:type="dxa" w:w="3178"/>
          </w:tcPr>
          <w:p>
            <w:r>
              <w:rPr/>
              <w:t>法定代表人资格证明书及法定代表人授权委托书的有效性；</w:t>
            </w:r>
          </w:p>
        </w:tc>
        <w:tc>
          <w:tcPr>
            <w:tcW w:type="dxa" w:w="4238"/>
          </w:tcPr>
          <w:p>
            <w:r>
              <w:rPr/>
              <w:t>法定代表人资格证明书及法定代表人授权委托书的有效性；</w:t>
            </w:r>
          </w:p>
        </w:tc>
      </w:tr>
      <w:tr>
        <w:tc>
          <w:tcPr>
            <w:tcW w:type="dxa" w:w="890"/>
          </w:tcPr>
          <w:p>
            <w:r>
              <w:rPr/>
              <w:t>3</w:t>
            </w:r>
          </w:p>
        </w:tc>
        <w:tc>
          <w:tcPr>
            <w:tcW w:type="dxa" w:w="3178"/>
          </w:tcPr>
          <w:p>
            <w:r>
              <w:rPr/>
              <w:t>响应承诺函已提交并符合采购文件要求的，且投标有效期满足采购文件要求的；</w:t>
            </w:r>
          </w:p>
        </w:tc>
        <w:tc>
          <w:tcPr>
            <w:tcW w:type="dxa" w:w="4238"/>
          </w:tcPr>
          <w:p>
            <w:r>
              <w:rPr/>
              <w:t>响应承诺函已提交并符合采购文件要求的，且投标有效期满足采购文件要求的；</w:t>
            </w:r>
          </w:p>
        </w:tc>
      </w:tr>
      <w:tr>
        <w:tc>
          <w:tcPr>
            <w:tcW w:type="dxa" w:w="890"/>
          </w:tcPr>
          <w:p>
            <w:r>
              <w:rPr/>
              <w:t>4</w:t>
            </w:r>
          </w:p>
        </w:tc>
        <w:tc>
          <w:tcPr>
            <w:tcW w:type="dxa" w:w="3178"/>
          </w:tcPr>
          <w:p>
            <w:r>
              <w:rPr/>
              <w:t>响应文件完全满足对采购文件的实质性条款（即标注★号条款）无负偏离的；</w:t>
            </w:r>
          </w:p>
        </w:tc>
        <w:tc>
          <w:tcPr>
            <w:tcW w:type="dxa" w:w="4238"/>
          </w:tcPr>
          <w:p>
            <w:r>
              <w:rPr/>
              <w:t>响应文件完全满足对采购文件的实质性条款（即标注★号条款）无负偏离的；</w:t>
            </w:r>
          </w:p>
        </w:tc>
      </w:tr>
      <w:tr>
        <w:tc>
          <w:tcPr>
            <w:tcW w:type="dxa" w:w="890"/>
          </w:tcPr>
          <w:p>
            <w:r>
              <w:rPr/>
              <w:t>5</w:t>
            </w:r>
          </w:p>
        </w:tc>
        <w:tc>
          <w:tcPr>
            <w:tcW w:type="dxa" w:w="3178"/>
          </w:tcPr>
          <w:p>
            <w:r>
              <w:rPr/>
              <w:t>总报价没有超过本项目最高限价；</w:t>
            </w:r>
          </w:p>
        </w:tc>
        <w:tc>
          <w:tcPr>
            <w:tcW w:type="dxa" w:w="4238"/>
          </w:tcPr>
          <w:p>
            <w:r>
              <w:rPr/>
              <w:t>总报价没有超过本项目最高限价；</w:t>
            </w:r>
          </w:p>
        </w:tc>
      </w:tr>
      <w:tr>
        <w:tc>
          <w:tcPr>
            <w:tcW w:type="dxa" w:w="890"/>
          </w:tcPr>
          <w:p>
            <w:r>
              <w:rPr/>
              <w:t>6</w:t>
            </w:r>
          </w:p>
        </w:tc>
        <w:tc>
          <w:tcPr>
            <w:tcW w:type="dxa" w:w="3178"/>
          </w:tcPr>
          <w:p>
            <w:r>
              <w:rPr/>
              <w:t>响应文件没有采购人不能接受的附加条件的；</w:t>
            </w:r>
          </w:p>
        </w:tc>
        <w:tc>
          <w:tcPr>
            <w:tcW w:type="dxa" w:w="4238"/>
          </w:tcPr>
          <w:p>
            <w:r>
              <w:rPr/>
              <w:t>响应文件没有采购人不能接受的附加条件的；</w:t>
            </w:r>
          </w:p>
        </w:tc>
      </w:tr>
      <w:tr>
        <w:tc>
          <w:tcPr>
            <w:tcW w:type="dxa" w:w="890"/>
          </w:tcPr>
          <w:p>
            <w:r>
              <w:rPr/>
              <w:t>7</w:t>
            </w:r>
          </w:p>
        </w:tc>
        <w:tc>
          <w:tcPr>
            <w:tcW w:type="dxa" w:w="3178"/>
          </w:tcPr>
          <w:p>
            <w:r>
              <w:rPr/>
              <w:t>响应文件没有出现串通投标情形的；</w:t>
            </w:r>
          </w:p>
        </w:tc>
        <w:tc>
          <w:tcPr>
            <w:tcW w:type="dxa" w:w="4238"/>
          </w:tcPr>
          <w:p>
            <w:r>
              <w:rPr/>
              <w:t>响应文件没有出现串通投标情形的；</w:t>
            </w:r>
          </w:p>
        </w:tc>
      </w:tr>
      <w:tr>
        <w:tc>
          <w:tcPr>
            <w:tcW w:type="dxa" w:w="890"/>
          </w:tcPr>
          <w:p>
            <w:r>
              <w:rPr/>
              <w:t>8</w:t>
            </w:r>
          </w:p>
        </w:tc>
        <w:tc>
          <w:tcPr>
            <w:tcW w:type="dxa" w:w="3178"/>
          </w:tcPr>
          <w:p>
            <w:r>
              <w:rPr/>
              <w:t>响应文件没有采购文件中规定的其他无效投标条款的；</w:t>
            </w:r>
          </w:p>
        </w:tc>
        <w:tc>
          <w:tcPr>
            <w:tcW w:type="dxa" w:w="4238"/>
          </w:tcPr>
          <w:p>
            <w:r>
              <w:rPr/>
              <w:t>响应文件没有采购文件中规定的其他无效投标条款的；</w:t>
            </w:r>
          </w:p>
        </w:tc>
      </w:tr>
      <w:tr>
        <w:tc>
          <w:tcPr>
            <w:tcW w:type="dxa" w:w="890"/>
          </w:tcPr>
          <w:p>
            <w:r>
              <w:rPr/>
              <w:t>9</w:t>
            </w:r>
          </w:p>
        </w:tc>
        <w:tc>
          <w:tcPr>
            <w:tcW w:type="dxa" w:w="3178"/>
          </w:tcPr>
          <w:p>
            <w:r>
              <w:rPr/>
              <w:t>没有法律、法规规定的其他无效情形。</w:t>
            </w:r>
          </w:p>
        </w:tc>
        <w:tc>
          <w:tcPr>
            <w:tcW w:type="dxa" w:w="4238"/>
          </w:tcPr>
          <w:p>
            <w:r>
              <w:rPr/>
              <w:t>没有法律、法规规定的其他无效情形。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采购包1(广东省森林火险预警监测系统维护维修技术支撑项目):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技术部分45.0分</w:t>
            </w:r>
          </w:p>
          <w:p>
            <w:r>
              <w:rPr/>
              <w:t>报价得分20.0分</w:t>
            </w:r>
          </w:p>
        </w:tc>
      </w:tr>
      <w:tr>
        <w:tc>
          <w:tcPr>
            <w:tcW w:type="dxa" w:w="922"/>
            <w:gridSpan w:val="2"/>
            <w:vMerge w:val="restart"/>
          </w:tcPr>
          <w:p>
            <w:pPr>
              <w:jc w:val="center"/>
            </w:pPr>
            <w:r>
              <w:rPr/>
              <w:t>技术部分</w:t>
            </w:r>
          </w:p>
        </w:tc>
        <w:tc>
          <w:tcPr>
            <w:tcW w:type="dxa" w:w="2307"/>
          </w:tcPr>
          <w:p>
            <w:pPr>
              <w:jc w:val="left"/>
            </w:pPr>
            <w:r>
              <w:rPr/>
              <w:t>项目技术方案内容1 (9.0分)</w:t>
            </w:r>
          </w:p>
        </w:tc>
        <w:tc>
          <w:tcPr>
            <w:tcW w:type="dxa" w:w="5076"/>
          </w:tcPr>
          <w:p>
            <w:pPr>
              <w:jc w:val="left"/>
            </w:pPr>
            <w:r>
              <w:rPr/>
              <w:t>供应商基于对广东省森林火险预警监测系统维护维修项目中建设内容的准确理解，梳理本项目涉及的业务现状、系统现状，分析存在的问题。 1.方案贴合用户需求，内容详细完整、可靠，描述准确，实施部署合理全面，具有前瞻性，得9分； 2.方案基本符合用户需求，实施部署相对合理，内容相对简单可靠，描述准确，得7分； 3.方案相对一般，实施部署缺乏合理性，内容简略可靠，得5分； 无提供不得分。</w:t>
            </w:r>
          </w:p>
        </w:tc>
      </w:tr>
      <w:tr>
        <w:tc>
          <w:tcPr>
            <w:tcW w:type="dxa" w:w="922"/>
            <w:gridSpan w:val="2"/>
            <w:vMerge/>
          </w:tcPr>
          <w:p/>
        </w:tc>
        <w:tc>
          <w:tcPr>
            <w:tcW w:type="dxa" w:w="2307"/>
          </w:tcPr>
          <w:p>
            <w:pPr>
              <w:jc w:val="left"/>
            </w:pPr>
            <w:r>
              <w:rPr/>
              <w:t>项目技术方案内容2 (9.0分)</w:t>
            </w:r>
          </w:p>
        </w:tc>
        <w:tc>
          <w:tcPr>
            <w:tcW w:type="dxa" w:w="5076"/>
          </w:tcPr>
          <w:p>
            <w:pPr>
              <w:jc w:val="left"/>
            </w:pPr>
            <w:r>
              <w:rPr/>
              <w:t>供应商对现有森林火险监测站点设备性能等作出说明。 1.描述准确、内容详细全面，得9分； 2.描述准确、内容较详细，得7分； 3.描述基本准确，内容简略，得5分； 无提供不得分。</w:t>
            </w:r>
          </w:p>
        </w:tc>
      </w:tr>
      <w:tr>
        <w:tc>
          <w:tcPr>
            <w:tcW w:type="dxa" w:w="922"/>
            <w:gridSpan w:val="2"/>
            <w:vMerge/>
          </w:tcPr>
          <w:p/>
        </w:tc>
        <w:tc>
          <w:tcPr>
            <w:tcW w:type="dxa" w:w="2307"/>
          </w:tcPr>
          <w:p>
            <w:pPr>
              <w:jc w:val="left"/>
            </w:pPr>
            <w:r>
              <w:rPr/>
              <w:t>项目技术方案内容3 (9.0分)</w:t>
            </w:r>
          </w:p>
        </w:tc>
        <w:tc>
          <w:tcPr>
            <w:tcW w:type="dxa" w:w="5076"/>
          </w:tcPr>
          <w:p>
            <w:pPr>
              <w:jc w:val="left"/>
            </w:pPr>
            <w:r>
              <w:rPr/>
              <w:t>供应商提供的整体技术方案可行性、合理性情况： 1.方案内容相对详细，内容合理，可行性高，优于本项目需求，得9分； 2.方案内容一般，内容合理性一般，可行性一般，满足本项目需求，得7分； 3.方案内容不合理，可行性差，基本满足本项目需求，得5分； 无提供不得分。</w:t>
            </w:r>
          </w:p>
        </w:tc>
      </w:tr>
      <w:tr>
        <w:tc>
          <w:tcPr>
            <w:tcW w:type="dxa" w:w="922"/>
            <w:gridSpan w:val="2"/>
            <w:vMerge/>
          </w:tcPr>
          <w:p/>
        </w:tc>
        <w:tc>
          <w:tcPr>
            <w:tcW w:type="dxa" w:w="2307"/>
          </w:tcPr>
          <w:p>
            <w:pPr>
              <w:jc w:val="left"/>
            </w:pPr>
            <w:r>
              <w:rPr/>
              <w:t>项目实施计划 (9.0分)</w:t>
            </w:r>
          </w:p>
        </w:tc>
        <w:tc>
          <w:tcPr>
            <w:tcW w:type="dxa" w:w="5076"/>
          </w:tcPr>
          <w:p>
            <w:pPr>
              <w:jc w:val="left"/>
            </w:pPr>
            <w:r>
              <w:rPr/>
              <w:t>根据供应商提供的施工组织方案及实施计划： 1.具有健全的施工组织方案，优于磋商文件要求完成工作任务，得9分； 2.施工组织方案基本完整，较好的按照磋商文件要求完成工作任务，得7分； 3.施工组织方案简略，按照磋商文件要求完成工作任务，得5分； 无提供不得分。</w:t>
            </w:r>
          </w:p>
        </w:tc>
      </w:tr>
      <w:tr>
        <w:tc>
          <w:tcPr>
            <w:tcW w:type="dxa" w:w="922"/>
            <w:gridSpan w:val="2"/>
            <w:vMerge/>
          </w:tcPr>
          <w:p/>
        </w:tc>
        <w:tc>
          <w:tcPr>
            <w:tcW w:type="dxa" w:w="2307"/>
          </w:tcPr>
          <w:p>
            <w:pPr>
              <w:jc w:val="left"/>
            </w:pPr>
            <w:r>
              <w:rPr/>
              <w:t>运维响应要求 (9.0分)</w:t>
            </w:r>
          </w:p>
        </w:tc>
        <w:tc>
          <w:tcPr>
            <w:tcW w:type="dxa" w:w="5076"/>
          </w:tcPr>
          <w:p>
            <w:pPr>
              <w:jc w:val="left"/>
            </w:pPr>
            <w:r>
              <w:rPr/>
              <w:t>根据各供应商对项目提供的运维服务质量，包括服务咨询、巡检保养、主动监测、故障修复及服务报告等方面内容进行评分： 1.运维响应内容具体完善、合理、可行性高，得9分； 2.运维响应内容相对完善、合理、可行性较高，得7分； 3.运维响应内容简略有缺漏、不够合理、可行性较差，得5分；</w:t>
            </w:r>
          </w:p>
        </w:tc>
      </w:tr>
      <w:tr>
        <w:tc>
          <w:tcPr>
            <w:tcW w:type="dxa" w:w="922"/>
            <w:gridSpan w:val="2"/>
            <w:vMerge w:val="restart"/>
          </w:tcPr>
          <w:p>
            <w:pPr>
              <w:jc w:val="center"/>
            </w:pPr>
            <w:r>
              <w:rPr/>
              <w:t>商务部分</w:t>
            </w:r>
          </w:p>
        </w:tc>
        <w:tc>
          <w:tcPr>
            <w:tcW w:type="dxa" w:w="2307"/>
          </w:tcPr>
          <w:p>
            <w:pPr>
              <w:jc w:val="left"/>
            </w:pPr>
            <w:r>
              <w:rPr/>
              <w:t>商务响应程度 (6.0分)</w:t>
            </w:r>
          </w:p>
        </w:tc>
        <w:tc>
          <w:tcPr>
            <w:tcW w:type="dxa" w:w="5076"/>
          </w:tcPr>
          <w:p>
            <w:pPr>
              <w:jc w:val="left"/>
            </w:pPr>
            <w:r>
              <w:rPr/>
              <w:t>优于或完全响应磋商要求的，得6分； 每有一项一般参数条款负偏离扣1分，负偏离超过6项的，视为对磋商要求有较大偏离，统一得0分。 注：凡是标有序号的条款均以一项单独的条款计算，无论是否隶属于上一级编号。</w:t>
            </w:r>
          </w:p>
        </w:tc>
      </w:tr>
      <w:tr>
        <w:tc>
          <w:tcPr>
            <w:tcW w:type="dxa" w:w="922"/>
            <w:gridSpan w:val="2"/>
            <w:vMerge/>
          </w:tcPr>
          <w:p/>
        </w:tc>
        <w:tc>
          <w:tcPr>
            <w:tcW w:type="dxa" w:w="2307"/>
          </w:tcPr>
          <w:p>
            <w:pPr>
              <w:jc w:val="left"/>
            </w:pPr>
            <w:r>
              <w:rPr/>
              <w:t>企业资质 (9.0分)</w:t>
            </w:r>
          </w:p>
        </w:tc>
        <w:tc>
          <w:tcPr>
            <w:tcW w:type="dxa" w:w="5076"/>
          </w:tcPr>
          <w:p>
            <w:pPr>
              <w:jc w:val="left"/>
            </w:pPr>
            <w:r>
              <w:rPr/>
              <w:t>供应商具有有效的ISO9001质量管理体系认证证书的得3分，否则得0分； 供应商具有有效的ISO14001环境管理体系认证证书的得3分，否则得0分； 供应商具有有效的ISO27001（信息安全管理体系）认证证书的得3分，否则得0分； （注：须提供相关证书复印件并加盖公章，无提供不得分。)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供应商2019年至今（以合同签订时间为准）具有同类项目业绩的，每个得2分，最高得10分。 （注：须提供合同复印件，提供合同的乙方必须与供应商的名称完全一致，如公司名称发生变更，必须提供工商部门的证明文件。）</w:t>
            </w:r>
          </w:p>
        </w:tc>
      </w:tr>
      <w:tr>
        <w:tc>
          <w:tcPr>
            <w:tcW w:type="dxa" w:w="922"/>
            <w:gridSpan w:val="2"/>
            <w:vMerge/>
          </w:tcPr>
          <w:p/>
        </w:tc>
        <w:tc>
          <w:tcPr>
            <w:tcW w:type="dxa" w:w="2307"/>
          </w:tcPr>
          <w:p>
            <w:pPr>
              <w:jc w:val="left"/>
            </w:pPr>
            <w:r>
              <w:rPr/>
              <w:t>企业信誉 (6.0分)</w:t>
            </w:r>
          </w:p>
        </w:tc>
        <w:tc>
          <w:tcPr>
            <w:tcW w:type="dxa" w:w="5076"/>
          </w:tcPr>
          <w:p>
            <w:pPr>
              <w:jc w:val="left"/>
            </w:pPr>
            <w:r>
              <w:rPr/>
              <w:t>供应商具有政府部门颁发的信誉或荣誉证书，每提供一份得2分，最高得6分。 注：须提供相关证书复印件并加盖公章，无提供不得分。</w:t>
            </w:r>
          </w:p>
        </w:tc>
      </w:tr>
      <w:tr>
        <w:tc>
          <w:tcPr>
            <w:tcW w:type="dxa" w:w="922"/>
            <w:gridSpan w:val="2"/>
            <w:vMerge/>
          </w:tcPr>
          <w:p/>
        </w:tc>
        <w:tc>
          <w:tcPr>
            <w:tcW w:type="dxa" w:w="2307"/>
          </w:tcPr>
          <w:p>
            <w:pPr>
              <w:jc w:val="left"/>
            </w:pPr>
            <w:r>
              <w:rPr/>
              <w:t>企业服务能力 (4.0分)</w:t>
            </w:r>
          </w:p>
        </w:tc>
        <w:tc>
          <w:tcPr>
            <w:tcW w:type="dxa" w:w="5076"/>
          </w:tcPr>
          <w:p>
            <w:pPr>
              <w:jc w:val="left"/>
            </w:pPr>
            <w:r>
              <w:rPr/>
              <w:t>项目组成员每具备1名高级信息系统项目管理师得 2分，每1名中级系统集成项目管理工程师得1分，最高得4分。 （注：以上成员均须提供本项目投标截止日前三个月内任意一个月的单位参加社会保险证明）</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7"/>
        </w:rPr>
        <w:t>甲方：</w:t>
      </w:r>
      <w:r>
        <w:rPr>
          <w:b/>
          <w:sz w:val="27"/>
        </w:rPr>
        <w:t xml:space="preserve"> </w:t>
      </w:r>
    </w:p>
    <w:p>
      <w:pPr>
        <w:jc w:val="both"/>
      </w:pPr>
      <w:r>
        <w:rPr>
          <w:sz w:val="27"/>
        </w:rPr>
        <w:t>电话：</w:t>
      </w:r>
      <w:r>
        <w:rPr>
          <w:b/>
          <w:sz w:val="21"/>
        </w:rPr>
        <w:t xml:space="preserve"> </w:t>
      </w:r>
      <w:r>
        <w:rPr>
          <w:sz w:val="27"/>
        </w:rPr>
        <w:t>传真</w:t>
      </w:r>
      <w:r>
        <w:rPr>
          <w:sz w:val="27"/>
        </w:rPr>
        <w:t>：</w:t>
      </w:r>
      <w:r>
        <w:rPr>
          <w:b/>
          <w:sz w:val="21"/>
        </w:rPr>
        <w:t xml:space="preserve"> </w:t>
      </w:r>
      <w:r>
        <w:rPr>
          <w:sz w:val="27"/>
        </w:rPr>
        <w:t>地址：</w:t>
      </w:r>
      <w:r>
        <w:rPr>
          <w:b/>
          <w:sz w:val="21"/>
        </w:rPr>
        <w:t xml:space="preserve">  </w:t>
      </w:r>
    </w:p>
    <w:p>
      <w:pPr>
        <w:jc w:val="both"/>
      </w:pPr>
      <w:r>
        <w:rPr>
          <w:b/>
          <w:sz w:val="27"/>
        </w:rPr>
        <w:t>乙方：</w:t>
      </w:r>
      <w:r>
        <w:rPr>
          <w:b/>
          <w:sz w:val="27"/>
        </w:rPr>
        <w:t xml:space="preserve"> </w:t>
      </w:r>
    </w:p>
    <w:p>
      <w:pPr>
        <w:jc w:val="both"/>
      </w:pPr>
      <w:r>
        <w:rPr>
          <w:sz w:val="27"/>
        </w:rPr>
        <w:t>电话：</w:t>
      </w:r>
      <w:r>
        <w:rPr>
          <w:b/>
          <w:sz w:val="21"/>
        </w:rPr>
        <w:t xml:space="preserve">  </w:t>
      </w:r>
      <w:r>
        <w:rPr>
          <w:sz w:val="27"/>
        </w:rPr>
        <w:t>传真：</w:t>
      </w:r>
      <w:r>
        <w:rPr>
          <w:b/>
          <w:sz w:val="21"/>
        </w:rPr>
        <w:t xml:space="preserve">  </w:t>
      </w:r>
      <w:r>
        <w:rPr>
          <w:sz w:val="27"/>
        </w:rPr>
        <w:t>地址：</w:t>
      </w:r>
      <w:r>
        <w:rPr>
          <w:b/>
          <w:sz w:val="21"/>
        </w:rPr>
        <w:t xml:space="preserve">  </w:t>
      </w:r>
    </w:p>
    <w:p>
      <w:pPr>
        <w:jc w:val="both"/>
      </w:pPr>
      <w:r>
        <w:rPr>
          <w:sz w:val="21"/>
        </w:rPr>
        <w:t xml:space="preserve"> </w:t>
      </w:r>
    </w:p>
    <w:p>
      <w:pPr>
        <w:jc w:val="both"/>
      </w:pPr>
      <w:r>
        <w:rPr>
          <w:sz w:val="27"/>
        </w:rPr>
        <w:t xml:space="preserve">  </w:t>
      </w:r>
      <w:r>
        <w:rPr>
          <w:sz w:val="27"/>
        </w:rPr>
        <w:t>根据</w:t>
      </w:r>
      <w:r>
        <w:rPr>
          <w:sz w:val="27"/>
        </w:rPr>
        <w:t xml:space="preserve">         </w:t>
      </w:r>
      <w:r>
        <w:rPr>
          <w:sz w:val="27"/>
        </w:rPr>
        <w:t>项目</w:t>
      </w:r>
      <w:r>
        <w:rPr>
          <w:sz w:val="27"/>
        </w:rPr>
        <w:t>的采购结果，按照《中华人民共和国政府采购法》，《中华人民共和国民法典</w:t>
      </w:r>
      <w:r>
        <w:rPr>
          <w:sz w:val="27"/>
        </w:rPr>
        <w:t>(合同编)》的规定，经双方协商，本着平等互利和诚实信用的原则，一致同意遵守本合同如下。</w:t>
      </w:r>
    </w:p>
    <w:p>
      <w:pPr>
        <w:jc w:val="both"/>
      </w:pPr>
      <w:r>
        <w:rPr>
          <w:b/>
          <w:sz w:val="27"/>
        </w:rPr>
        <w:t>一、合同金额</w:t>
      </w:r>
    </w:p>
    <w:p>
      <w:pPr>
        <w:jc w:val="both"/>
      </w:pPr>
      <w:r>
        <w:rPr>
          <w:sz w:val="27"/>
        </w:rPr>
        <w:t>合同金额为（大写）：</w:t>
      </w:r>
      <w:r>
        <w:rPr>
          <w:sz w:val="27"/>
        </w:rPr>
        <w:t>_____________元（￥_________元）人民币。</w:t>
      </w:r>
    </w:p>
    <w:p>
      <w:r>
        <w:rPr>
          <w:b/>
          <w:sz w:val="24"/>
        </w:rPr>
        <w:t>该费用</w:t>
      </w:r>
      <w:r>
        <w:rPr>
          <w:b/>
          <w:sz w:val="24"/>
        </w:rPr>
        <w:t>为</w:t>
      </w:r>
      <w:r>
        <w:rPr>
          <w:b/>
          <w:sz w:val="24"/>
        </w:rPr>
        <w:t>含税价，包括但不限于乙方为</w:t>
      </w:r>
      <w:r>
        <w:rPr>
          <w:b/>
          <w:sz w:val="24"/>
        </w:rPr>
        <w:t>履行合同义务</w:t>
      </w:r>
      <w:r>
        <w:rPr>
          <w:b/>
          <w:sz w:val="24"/>
        </w:rPr>
        <w:t>所需的设备、技术、人员、耗材、交通、通讯、差旅、验收等所有费用，该</w:t>
      </w:r>
      <w:r>
        <w:rPr>
          <w:b/>
          <w:sz w:val="24"/>
        </w:rPr>
        <w:t>费用</w:t>
      </w:r>
      <w:r>
        <w:rPr>
          <w:b/>
          <w:sz w:val="24"/>
        </w:rPr>
        <w:t>用为固定金额，除此之外，甲方不再支付任何费用。</w:t>
      </w:r>
    </w:p>
    <w:p>
      <w:pPr>
        <w:jc w:val="both"/>
      </w:pPr>
      <w:r>
        <w:rPr>
          <w:b/>
          <w:sz w:val="27"/>
        </w:rPr>
        <w:t>二、服务范围</w:t>
      </w:r>
    </w:p>
    <w:p>
      <w:pPr>
        <w:jc w:val="both"/>
      </w:pPr>
      <w:r>
        <w:rPr>
          <w:sz w:val="27"/>
        </w:rPr>
        <w:t>　　甲方聘请乙方提供以下服务：</w:t>
      </w:r>
    </w:p>
    <w:p>
      <w:pPr>
        <w:jc w:val="both"/>
      </w:pPr>
      <w:r>
        <w:rPr>
          <w:sz w:val="27"/>
        </w:rPr>
        <w:t>1．　　　　　　　　　　　。</w:t>
      </w:r>
    </w:p>
    <w:p>
      <w:pPr>
        <w:jc w:val="both"/>
      </w:pPr>
      <w:r>
        <w:rPr>
          <w:sz w:val="27"/>
        </w:rPr>
        <w:t>2．　　　　　　　　　　　</w:t>
      </w:r>
    </w:p>
    <w:p>
      <w:pPr>
        <w:jc w:val="both"/>
      </w:pPr>
      <w:r>
        <w:rPr>
          <w:sz w:val="27"/>
        </w:rPr>
        <w:t>……</w:t>
      </w:r>
    </w:p>
    <w:p>
      <w:pPr>
        <w:jc w:val="both"/>
      </w:pPr>
      <w:r>
        <w:rPr>
          <w:b/>
          <w:sz w:val="27"/>
        </w:rPr>
        <w:t>三、甲方乙方的权利和义务</w:t>
      </w:r>
    </w:p>
    <w:p>
      <w:pPr>
        <w:ind w:firstLine="420"/>
        <w:jc w:val="both"/>
      </w:pPr>
      <w:r>
        <w:rPr>
          <w:b/>
          <w:sz w:val="24"/>
        </w:rPr>
        <w:t>（</w:t>
      </w:r>
      <w:r>
        <w:rPr>
          <w:b/>
          <w:sz w:val="24"/>
        </w:rPr>
        <w:t>一</w:t>
      </w:r>
      <w:r>
        <w:rPr>
          <w:b/>
          <w:sz w:val="24"/>
        </w:rPr>
        <w:t>）</w:t>
      </w:r>
      <w:r>
        <w:rPr>
          <w:b/>
          <w:sz w:val="24"/>
        </w:rPr>
        <w:t>甲方的权利义务</w:t>
      </w:r>
    </w:p>
    <w:p>
      <w:pPr>
        <w:ind w:firstLine="420"/>
        <w:jc w:val="both"/>
      </w:pPr>
      <w:r>
        <w:rPr>
          <w:b/>
          <w:sz w:val="24"/>
        </w:rPr>
        <w:t>1</w:t>
      </w:r>
      <w:r>
        <w:rPr>
          <w:b/>
          <w:sz w:val="24"/>
        </w:rPr>
        <w:t>.</w:t>
      </w:r>
      <w:r>
        <w:rPr>
          <w:b/>
          <w:sz w:val="24"/>
        </w:rPr>
        <w:t xml:space="preserve"> </w:t>
      </w:r>
      <w:r>
        <w:rPr>
          <w:b/>
          <w:sz w:val="24"/>
        </w:rPr>
        <w:t>甲方应指定协作人员协助开展工作，积极配合乙方开展工作；</w:t>
      </w:r>
    </w:p>
    <w:p>
      <w:pPr>
        <w:ind w:firstLine="420"/>
        <w:jc w:val="both"/>
      </w:pPr>
      <w:r>
        <w:rPr>
          <w:b/>
          <w:sz w:val="24"/>
        </w:rPr>
        <w:t>2</w:t>
      </w:r>
      <w:r>
        <w:rPr>
          <w:b/>
          <w:sz w:val="24"/>
        </w:rPr>
        <w:t>.</w:t>
      </w:r>
      <w:r>
        <w:rPr>
          <w:b/>
          <w:sz w:val="24"/>
        </w:rPr>
        <w:t xml:space="preserve"> </w:t>
      </w:r>
      <w:r>
        <w:rPr>
          <w:b/>
          <w:sz w:val="24"/>
        </w:rPr>
        <w:t>甲方有权对</w:t>
      </w:r>
      <w:r>
        <w:rPr>
          <w:b/>
          <w:sz w:val="24"/>
        </w:rPr>
        <w:t>乙方提供的服务</w:t>
      </w:r>
      <w:r>
        <w:rPr>
          <w:b/>
          <w:sz w:val="24"/>
        </w:rPr>
        <w:t>进行跟踪、监督并提出相关改进建议；</w:t>
      </w:r>
    </w:p>
    <w:p>
      <w:pPr>
        <w:ind w:firstLine="420"/>
        <w:jc w:val="both"/>
      </w:pPr>
      <w:r>
        <w:rPr>
          <w:b/>
          <w:sz w:val="24"/>
        </w:rPr>
        <w:t>3</w:t>
      </w:r>
      <w:r>
        <w:rPr>
          <w:b/>
          <w:sz w:val="24"/>
        </w:rPr>
        <w:t>.</w:t>
      </w:r>
      <w:r>
        <w:rPr>
          <w:b/>
          <w:sz w:val="24"/>
        </w:rPr>
        <w:t xml:space="preserve"> </w:t>
      </w:r>
      <w:r>
        <w:rPr>
          <w:b/>
          <w:sz w:val="24"/>
        </w:rPr>
        <w:t>甲方应按约定时间和方式支付服务费；</w:t>
      </w:r>
    </w:p>
    <w:p>
      <w:pPr>
        <w:ind w:firstLine="420"/>
        <w:jc w:val="both"/>
      </w:pPr>
      <w:r>
        <w:rPr>
          <w:b/>
          <w:sz w:val="24"/>
        </w:rPr>
        <w:t>4</w:t>
      </w:r>
      <w:r>
        <w:rPr>
          <w:b/>
          <w:sz w:val="24"/>
        </w:rPr>
        <w:t>.</w:t>
      </w:r>
      <w:r>
        <w:rPr>
          <w:b/>
          <w:sz w:val="24"/>
        </w:rPr>
        <w:t xml:space="preserve"> </w:t>
      </w:r>
      <w:r>
        <w:rPr>
          <w:b/>
          <w:sz w:val="24"/>
        </w:rPr>
        <w:t>甲方应在合同生效后协调提供与完成本服务项目有关的甲方持有的必要资料；</w:t>
      </w:r>
    </w:p>
    <w:p>
      <w:pPr>
        <w:ind w:firstLine="420"/>
        <w:jc w:val="both"/>
      </w:pPr>
      <w:r>
        <w:rPr>
          <w:b/>
          <w:sz w:val="24"/>
        </w:rPr>
        <w:t>（</w:t>
      </w:r>
      <w:r>
        <w:rPr>
          <w:b/>
          <w:sz w:val="24"/>
        </w:rPr>
        <w:t>二</w:t>
      </w:r>
      <w:r>
        <w:rPr>
          <w:b/>
          <w:sz w:val="24"/>
        </w:rPr>
        <w:t>）</w:t>
      </w:r>
      <w:r>
        <w:rPr>
          <w:b/>
          <w:sz w:val="24"/>
        </w:rPr>
        <w:t>乙方的权利义务</w:t>
      </w:r>
    </w:p>
    <w:p>
      <w:pPr>
        <w:numPr>
          <w:ilvl w:val="0"/>
          <w:numId w:val="1"/>
        </w:numPr>
        <w:jc w:val="both"/>
      </w:pPr>
      <w:r>
        <w:rPr>
          <w:b/>
          <w:sz w:val="24"/>
        </w:rPr>
        <w:t>乙方有权要求甲方按照合同约定支付费用</w:t>
      </w:r>
      <w:r>
        <w:rPr>
          <w:b/>
          <w:sz w:val="24"/>
        </w:rPr>
        <w:t>；</w:t>
      </w:r>
    </w:p>
    <w:p>
      <w:pPr>
        <w:numPr>
          <w:ilvl w:val="0"/>
          <w:numId w:val="1"/>
        </w:numPr>
        <w:jc w:val="both"/>
      </w:pPr>
      <w:r>
        <w:rPr>
          <w:b/>
          <w:sz w:val="24"/>
        </w:rPr>
        <w:t>乙方应为本服务项目组建专门团队</w:t>
      </w:r>
      <w:r>
        <w:rPr>
          <w:b/>
          <w:sz w:val="24"/>
        </w:rPr>
        <w:t>，</w:t>
      </w:r>
      <w:r>
        <w:rPr>
          <w:b/>
          <w:sz w:val="24"/>
        </w:rPr>
        <w:t>确保团队成员具备相应的专业能力与资质</w:t>
      </w:r>
      <w:r>
        <w:rPr>
          <w:b/>
          <w:sz w:val="24"/>
        </w:rPr>
        <w:t>，</w:t>
      </w:r>
      <w:r>
        <w:rPr>
          <w:b/>
          <w:sz w:val="24"/>
        </w:rPr>
        <w:t>并保证团队的稳定性</w:t>
      </w:r>
      <w:r>
        <w:rPr>
          <w:b/>
          <w:sz w:val="24"/>
        </w:rPr>
        <w:t>，</w:t>
      </w:r>
      <w:r>
        <w:rPr>
          <w:b/>
          <w:sz w:val="24"/>
        </w:rPr>
        <w:t>未经甲方书面允许不得擅自更换团队成员</w:t>
      </w:r>
      <w:r>
        <w:rPr>
          <w:b/>
          <w:sz w:val="24"/>
        </w:rPr>
        <w:t>；</w:t>
      </w:r>
    </w:p>
    <w:p>
      <w:pPr>
        <w:numPr>
          <w:ilvl w:val="0"/>
          <w:numId w:val="1"/>
        </w:numPr>
        <w:jc w:val="both"/>
      </w:pPr>
      <w:r>
        <w:rPr>
          <w:b/>
          <w:sz w:val="24"/>
        </w:rPr>
        <w:t>乙方应按合同约定完成各服务项目</w:t>
      </w:r>
      <w:r>
        <w:rPr>
          <w:b/>
          <w:sz w:val="24"/>
        </w:rPr>
        <w:t>，</w:t>
      </w:r>
      <w:r>
        <w:rPr>
          <w:b/>
          <w:sz w:val="24"/>
        </w:rPr>
        <w:t>并保证质量符合双方约定</w:t>
      </w:r>
      <w:r>
        <w:rPr>
          <w:b/>
          <w:sz w:val="24"/>
        </w:rPr>
        <w:t>；</w:t>
      </w:r>
    </w:p>
    <w:p>
      <w:pPr>
        <w:numPr>
          <w:ilvl w:val="0"/>
          <w:numId w:val="1"/>
        </w:numPr>
        <w:jc w:val="both"/>
      </w:pPr>
      <w:r>
        <w:rPr>
          <w:b/>
          <w:sz w:val="24"/>
        </w:rPr>
        <w:t>乙方应自觉接受甲方对服务质量的监督</w:t>
      </w:r>
      <w:r>
        <w:rPr>
          <w:b/>
          <w:sz w:val="24"/>
        </w:rPr>
        <w:t>，</w:t>
      </w:r>
      <w:r>
        <w:rPr>
          <w:b/>
          <w:sz w:val="24"/>
        </w:rPr>
        <w:t>并根据甲方的建议积极改进服务内容</w:t>
      </w:r>
      <w:r>
        <w:rPr>
          <w:b/>
          <w:sz w:val="24"/>
        </w:rPr>
        <w:t>；</w:t>
      </w:r>
    </w:p>
    <w:p>
      <w:pPr>
        <w:ind w:firstLine="482"/>
        <w:jc w:val="both"/>
      </w:pPr>
      <w:r>
        <w:rPr>
          <w:b/>
          <w:sz w:val="24"/>
        </w:rPr>
        <w:t>5</w:t>
      </w:r>
      <w:r>
        <w:rPr>
          <w:b/>
          <w:sz w:val="24"/>
        </w:rPr>
        <w:t>.</w:t>
      </w:r>
      <w:r>
        <w:rPr>
          <w:b/>
          <w:sz w:val="21"/>
        </w:rPr>
        <w:t xml:space="preserve"> </w:t>
      </w:r>
      <w:r>
        <w:rPr>
          <w:b/>
          <w:sz w:val="24"/>
        </w:rPr>
        <w:t>乙方应保证自身具备和在本合同履行期内具备提供本合同服务内容所需的证件</w:t>
      </w:r>
      <w:r>
        <w:rPr>
          <w:b/>
          <w:sz w:val="24"/>
        </w:rPr>
        <w:t>、</w:t>
      </w:r>
      <w:r>
        <w:rPr>
          <w:b/>
          <w:sz w:val="24"/>
        </w:rPr>
        <w:t>许可等全部资质</w:t>
      </w:r>
      <w:r>
        <w:rPr>
          <w:b/>
          <w:sz w:val="24"/>
        </w:rPr>
        <w:t>。</w:t>
      </w:r>
    </w:p>
    <w:p>
      <w:pPr>
        <w:jc w:val="both"/>
      </w:pPr>
      <w:r>
        <w:rPr>
          <w:b/>
          <w:sz w:val="27"/>
        </w:rPr>
        <w:t>四、服务期间（项目完成期限）</w:t>
      </w:r>
    </w:p>
    <w:p>
      <w:pPr>
        <w:jc w:val="both"/>
      </w:pPr>
      <w:r>
        <w:rPr>
          <w:sz w:val="27"/>
        </w:rPr>
        <w:t>1.委托服务期间自______年______月至______年______月止。</w:t>
      </w:r>
    </w:p>
    <w:p>
      <w:pPr>
        <w:jc w:val="both"/>
      </w:pPr>
      <w:r>
        <w:rPr>
          <w:b/>
          <w:sz w:val="27"/>
        </w:rPr>
        <w:t>五、付款方式</w:t>
      </w:r>
    </w:p>
    <w:p>
      <w:pPr>
        <w:ind w:firstLine="482"/>
        <w:jc w:val="both"/>
      </w:pPr>
      <w:r>
        <w:rPr>
          <w:b/>
          <w:sz w:val="24"/>
        </w:rPr>
        <w:t>1、合同签订后15个工作日内，成交供应商向采购人提交</w:t>
      </w:r>
      <w:r>
        <w:rPr>
          <w:b/>
          <w:sz w:val="24"/>
        </w:rPr>
        <w:t>项目进度情况</w:t>
      </w:r>
      <w:r>
        <w:rPr>
          <w:b/>
          <w:sz w:val="24"/>
        </w:rPr>
        <w:t>及付款申请，并提供等额增值税发票与合同总额</w:t>
      </w:r>
      <w:r>
        <w:rPr>
          <w:b/>
          <w:sz w:val="24"/>
        </w:rPr>
        <w:t>5%的履约保函（保函期限至项目服务期结束）。采购人在收到实施计划、付款申请、发票和履约保函后5个工作日内启动付款流程，向成交供应商支付合同金额的50%；</w:t>
      </w:r>
    </w:p>
    <w:p>
      <w:pPr>
        <w:ind w:firstLine="482"/>
        <w:jc w:val="both"/>
      </w:pPr>
      <w:r>
        <w:rPr>
          <w:b/>
          <w:sz w:val="24"/>
        </w:rPr>
        <w:t>2、202</w:t>
      </w:r>
      <w:r>
        <w:rPr>
          <w:b/>
          <w:sz w:val="24"/>
        </w:rPr>
        <w:t>3</w:t>
      </w:r>
      <w:r>
        <w:rPr>
          <w:b/>
          <w:sz w:val="24"/>
        </w:rPr>
        <w:t>年</w:t>
      </w:r>
      <w:r>
        <w:rPr>
          <w:b/>
          <w:sz w:val="24"/>
        </w:rPr>
        <w:t>10</w:t>
      </w:r>
      <w:r>
        <w:rPr>
          <w:b/>
          <w:sz w:val="24"/>
        </w:rPr>
        <w:t>月，成交供应商向采购人提交</w:t>
      </w:r>
      <w:r>
        <w:rPr>
          <w:b/>
          <w:sz w:val="24"/>
        </w:rPr>
        <w:t>项目进度情况</w:t>
      </w:r>
      <w:r>
        <w:rPr>
          <w:b/>
          <w:sz w:val="24"/>
        </w:rPr>
        <w:t>及付款申请，并提供等额增值税发票。采购人在收到实施计划、付款申请和发票后</w:t>
      </w:r>
      <w:r>
        <w:rPr>
          <w:b/>
          <w:sz w:val="24"/>
        </w:rPr>
        <w:t>5个工作日内启动付款流程，向成交供应商支付合同金额的</w:t>
      </w:r>
      <w:r>
        <w:rPr>
          <w:b/>
          <w:sz w:val="24"/>
        </w:rPr>
        <w:t>3</w:t>
      </w:r>
      <w:r>
        <w:rPr>
          <w:b/>
          <w:sz w:val="24"/>
        </w:rPr>
        <w:t>0%；</w:t>
      </w:r>
    </w:p>
    <w:p>
      <w:pPr>
        <w:ind w:firstLine="482"/>
        <w:jc w:val="both"/>
      </w:pPr>
      <w:r>
        <w:rPr>
          <w:b/>
          <w:sz w:val="24"/>
        </w:rPr>
        <w:t>3、202</w:t>
      </w:r>
      <w:r>
        <w:rPr>
          <w:b/>
          <w:sz w:val="24"/>
        </w:rPr>
        <w:t>3</w:t>
      </w:r>
      <w:r>
        <w:rPr>
          <w:b/>
          <w:sz w:val="24"/>
        </w:rPr>
        <w:t>年</w:t>
      </w:r>
      <w:r>
        <w:rPr>
          <w:b/>
          <w:sz w:val="24"/>
        </w:rPr>
        <w:t>12</w:t>
      </w:r>
      <w:r>
        <w:rPr>
          <w:b/>
          <w:sz w:val="24"/>
        </w:rPr>
        <w:t>月，成交供应商向采购人提供等额增值税发票后</w:t>
      </w:r>
      <w:r>
        <w:rPr>
          <w:b/>
          <w:sz w:val="24"/>
        </w:rPr>
        <w:t>5个</w:t>
      </w:r>
      <w:r>
        <w:rPr>
          <w:b/>
          <w:sz w:val="24"/>
        </w:rPr>
        <w:t>工作日内，采购人向成交供应商支付合同金额的</w:t>
      </w:r>
      <w:r>
        <w:rPr>
          <w:b/>
          <w:sz w:val="24"/>
        </w:rPr>
        <w:t>2</w:t>
      </w:r>
      <w:r>
        <w:rPr>
          <w:b/>
          <w:sz w:val="24"/>
        </w:rPr>
        <w:t>0%。</w:t>
      </w:r>
    </w:p>
    <w:p>
      <w:pPr>
        <w:ind w:firstLine="482"/>
        <w:jc w:val="both"/>
      </w:pPr>
      <w:r>
        <w:rPr>
          <w:b/>
          <w:sz w:val="24"/>
        </w:rPr>
        <w:t>因采购人使用的是财政资金，采购人在前款规定的付款时间为向政府采购支付部门提出办理财政支付申请手续的时间（不含政府采购支付部门审核的时间），采购人在规定时间内提出支付申请手续后即视为采购人已经按期支付，成交供应商不得以此为由迟延履行或不履行合同。</w:t>
      </w:r>
    </w:p>
    <w:p/>
    <w:p>
      <w:r>
        <w:rPr>
          <w:b/>
          <w:color w:val="000000"/>
          <w:sz w:val="21"/>
        </w:rPr>
        <w:t>六、验收要求</w:t>
      </w:r>
    </w:p>
    <w:p>
      <w:pPr>
        <w:ind w:firstLine="420"/>
        <w:jc w:val="both"/>
      </w:pPr>
      <w:r>
        <w:rPr>
          <w:sz w:val="21"/>
        </w:rPr>
        <w:t>由乙方提出验收申请并按照采购人的要求完成对监测站点的</w:t>
      </w:r>
      <w:r>
        <w:rPr>
          <w:color w:val="000000"/>
          <w:sz w:val="21"/>
        </w:rPr>
        <w:t>维护维修</w:t>
      </w:r>
      <w:r>
        <w:rPr>
          <w:color w:val="000000"/>
          <w:sz w:val="21"/>
        </w:rPr>
        <w:t>后</w:t>
      </w:r>
      <w:r>
        <w:rPr>
          <w:sz w:val="21"/>
        </w:rPr>
        <w:t>，甲方根据国家有关规定、规范及磋商文件的要求、响应文件的相关承诺和相关合同的规定进行项目验收，乙方负责验收的相关准备工作，所产生与验收工作相关的费用由乙方承担。</w:t>
      </w:r>
    </w:p>
    <w:p/>
    <w:p>
      <w:pPr>
        <w:jc w:val="both"/>
      </w:pPr>
      <w:r>
        <w:rPr>
          <w:b/>
          <w:sz w:val="27"/>
        </w:rPr>
        <w:t>七</w:t>
      </w:r>
      <w:r>
        <w:rPr>
          <w:b/>
          <w:sz w:val="27"/>
        </w:rPr>
        <w:t>、知识产权归属</w:t>
      </w:r>
    </w:p>
    <w:p>
      <w:pPr>
        <w:ind w:firstLine="482"/>
        <w:jc w:val="both"/>
      </w:pPr>
      <w:r>
        <w:rPr>
          <w:b/>
          <w:sz w:val="24"/>
        </w:rPr>
        <w:t>1.</w:t>
      </w:r>
      <w:r>
        <w:rPr>
          <w:b/>
          <w:sz w:val="21"/>
        </w:rPr>
        <w:t xml:space="preserve"> </w:t>
      </w:r>
      <w:r>
        <w:rPr>
          <w:b/>
          <w:sz w:val="24"/>
        </w:rPr>
        <w:t>乙方应保证其提供服务以及在该过程中使用的技术、产品或其他任何一部分内容不会产生因第三方提出侵犯其著作权、专利权、商标权或其他知识产权而引起的纠纷；如因第三方提出其著作权、专利权、商标权或其他知识产权的侵权之诉，则一切法律责任由乙方承担，因此造成甲方损失的，乙方应承担赔偿责任</w:t>
      </w:r>
      <w:r>
        <w:rPr>
          <w:b/>
          <w:sz w:val="24"/>
        </w:rPr>
        <w:t>；</w:t>
      </w:r>
    </w:p>
    <w:p>
      <w:r>
        <w:rPr>
          <w:b/>
          <w:sz w:val="24"/>
        </w:rPr>
        <w:t>2.</w:t>
      </w:r>
      <w:r>
        <w:rPr>
          <w:b/>
        </w:rPr>
        <w:t xml:space="preserve"> </w:t>
      </w:r>
      <w:r>
        <w:rPr>
          <w:b/>
          <w:sz w:val="24"/>
        </w:rPr>
        <w:t>甲方依本合同向乙方提供的资料中所包含的创意、设计、图形、图片、文字等，以及乙方因本合同所产生的作品，其知识产权和其它权益全部归甲方所有。</w:t>
      </w:r>
      <w:r>
        <w:rPr>
          <w:sz w:val="24"/>
        </w:rPr>
        <w:t>”</w:t>
      </w:r>
    </w:p>
    <w:p>
      <w:pPr>
        <w:jc w:val="both"/>
      </w:pPr>
      <w:r>
        <w:rPr>
          <w:b/>
          <w:sz w:val="27"/>
        </w:rPr>
        <w:t>八</w:t>
      </w:r>
      <w:r>
        <w:rPr>
          <w:b/>
          <w:sz w:val="27"/>
        </w:rPr>
        <w:t>、保密</w:t>
      </w:r>
    </w:p>
    <w:p>
      <w:pPr>
        <w:ind w:firstLine="482"/>
        <w:jc w:val="both"/>
      </w:pPr>
      <w:r>
        <w:rPr>
          <w:b/>
          <w:sz w:val="24"/>
        </w:rPr>
        <w:t>1. 甲乙双方应遵守所签署的附件《保密协议》</w:t>
      </w:r>
      <w:r>
        <w:rPr>
          <w:b/>
          <w:sz w:val="24"/>
        </w:rPr>
        <w:t>（见附件）</w:t>
      </w:r>
      <w:r>
        <w:rPr>
          <w:b/>
          <w:sz w:val="24"/>
        </w:rPr>
        <w:t>。</w:t>
      </w:r>
    </w:p>
    <w:p>
      <w:r>
        <w:rPr>
          <w:b/>
          <w:sz w:val="24"/>
        </w:rPr>
        <w:t>2. 附件《保密协议》不因本合同无效或解除或终止而无效或终止，保密期限至任一方对外正式公开有关保密信息时为止。</w:t>
      </w:r>
    </w:p>
    <w:p>
      <w:pPr>
        <w:jc w:val="both"/>
      </w:pPr>
      <w:r>
        <w:rPr>
          <w:b/>
          <w:sz w:val="27"/>
        </w:rPr>
        <w:t>九</w:t>
      </w:r>
      <w:r>
        <w:rPr>
          <w:b/>
          <w:sz w:val="27"/>
        </w:rPr>
        <w:t>、违约责任与赔偿损失</w:t>
      </w:r>
    </w:p>
    <w:p>
      <w:pPr>
        <w:ind w:firstLine="480"/>
        <w:jc w:val="both"/>
      </w:pPr>
      <w:r>
        <w:rPr>
          <w:sz w:val="24"/>
        </w:rPr>
        <w:t>1.乙方提供的服务不符合本合同规定的，甲方有权拒收，</w:t>
      </w:r>
      <w:r>
        <w:rPr>
          <w:b/>
          <w:sz w:val="24"/>
        </w:rPr>
        <w:t>并要求乙方限期整改</w:t>
      </w:r>
      <w:r>
        <w:rPr>
          <w:b/>
          <w:sz w:val="24"/>
        </w:rPr>
        <w:t>，</w:t>
      </w:r>
      <w:r>
        <w:rPr>
          <w:sz w:val="24"/>
        </w:rPr>
        <w:t>并且乙方</w:t>
      </w:r>
      <w:r>
        <w:rPr>
          <w:b/>
          <w:sz w:val="24"/>
        </w:rPr>
        <w:t>应按次</w:t>
      </w:r>
      <w:r>
        <w:rPr>
          <w:sz w:val="24"/>
        </w:rPr>
        <w:t>向甲方支付本合同总价</w:t>
      </w:r>
      <w:r>
        <w:rPr>
          <w:sz w:val="24"/>
        </w:rPr>
        <w:t>5%的违约金。</w:t>
      </w:r>
      <w:r>
        <w:rPr>
          <w:b/>
          <w:sz w:val="24"/>
        </w:rPr>
        <w:t>乙方在甲方指定期限内未整改完毕的</w:t>
      </w:r>
      <w:r>
        <w:rPr>
          <w:b/>
          <w:sz w:val="24"/>
        </w:rPr>
        <w:t>，</w:t>
      </w:r>
      <w:r>
        <w:rPr>
          <w:b/>
          <w:sz w:val="24"/>
        </w:rPr>
        <w:t>甲方有权解除合同</w:t>
      </w:r>
      <w:r>
        <w:rPr>
          <w:b/>
          <w:sz w:val="24"/>
        </w:rPr>
        <w:t>，</w:t>
      </w:r>
      <w:r>
        <w:rPr>
          <w:b/>
          <w:sz w:val="24"/>
        </w:rPr>
        <w:t>乙方应退还全部已支付款项并支付本</w:t>
      </w:r>
      <w:r>
        <w:rPr>
          <w:b/>
          <w:sz w:val="24"/>
        </w:rPr>
        <w:t>合同总价</w:t>
      </w:r>
      <w:r>
        <w:rPr>
          <w:b/>
          <w:sz w:val="21"/>
        </w:rPr>
        <w:t xml:space="preserve">  </w:t>
      </w:r>
      <w:r>
        <w:rPr>
          <w:b/>
          <w:sz w:val="24"/>
        </w:rPr>
        <w:t>%的违约金</w:t>
      </w:r>
      <w:r>
        <w:rPr>
          <w:b/>
          <w:sz w:val="24"/>
        </w:rPr>
        <w:t>，</w:t>
      </w:r>
      <w:r>
        <w:rPr>
          <w:b/>
          <w:sz w:val="24"/>
        </w:rPr>
        <w:t>违约金不足以弥补甲方损失的</w:t>
      </w:r>
      <w:r>
        <w:rPr>
          <w:b/>
          <w:sz w:val="24"/>
        </w:rPr>
        <w:t>，</w:t>
      </w:r>
      <w:r>
        <w:rPr>
          <w:b/>
          <w:sz w:val="24"/>
        </w:rPr>
        <w:t>乙方应承担赔偿责任</w:t>
      </w:r>
      <w:r>
        <w:rPr>
          <w:b/>
          <w:sz w:val="24"/>
        </w:rPr>
        <w:t>。</w:t>
      </w:r>
    </w:p>
    <w:p>
      <w:pPr>
        <w:ind w:firstLine="480"/>
        <w:jc w:val="both"/>
      </w:pPr>
      <w:r>
        <w:rPr>
          <w:sz w:val="24"/>
        </w:rPr>
        <w:t>2.乙方未能按本合同规定的交货时间提供服务，从逾期之日起每日按本合同总价3‰的数额向甲方支付违约金；逾期半个月以上的，甲方有权</w:t>
      </w:r>
      <w:r>
        <w:rPr>
          <w:b/>
          <w:sz w:val="24"/>
        </w:rPr>
        <w:t>解除</w:t>
      </w:r>
      <w:r>
        <w:rPr>
          <w:sz w:val="24"/>
        </w:rPr>
        <w:t>合同，</w:t>
      </w:r>
      <w:r>
        <w:rPr>
          <w:b/>
          <w:sz w:val="24"/>
        </w:rPr>
        <w:t>乙方应退还全部已支付款项并支付本</w:t>
      </w:r>
      <w:r>
        <w:rPr>
          <w:b/>
          <w:sz w:val="24"/>
        </w:rPr>
        <w:t>合同总价</w:t>
      </w:r>
      <w:r>
        <w:rPr>
          <w:b/>
          <w:sz w:val="21"/>
        </w:rPr>
        <w:t xml:space="preserve">  </w:t>
      </w:r>
      <w:r>
        <w:rPr>
          <w:b/>
          <w:sz w:val="24"/>
        </w:rPr>
        <w:t>%的违约金</w:t>
      </w:r>
      <w:r>
        <w:rPr>
          <w:b/>
          <w:sz w:val="24"/>
        </w:rPr>
        <w:t>。</w:t>
      </w:r>
      <w:r>
        <w:rPr>
          <w:b/>
          <w:sz w:val="24"/>
        </w:rPr>
        <w:t>违约金不足以弥补甲方损失的</w:t>
      </w:r>
      <w:r>
        <w:rPr>
          <w:b/>
          <w:sz w:val="24"/>
        </w:rPr>
        <w:t>，</w:t>
      </w:r>
      <w:r>
        <w:rPr>
          <w:b/>
          <w:sz w:val="24"/>
        </w:rPr>
        <w:t>乙方应承担赔偿责任</w:t>
      </w:r>
      <w:r>
        <w:rPr>
          <w:b/>
          <w:sz w:val="24"/>
        </w:rPr>
        <w:t>。</w:t>
      </w:r>
    </w:p>
    <w:p>
      <w:pPr>
        <w:ind w:firstLine="480"/>
        <w:jc w:val="both"/>
      </w:pPr>
      <w:r>
        <w:rPr>
          <w:sz w:val="24"/>
        </w:rPr>
        <w:t>3.甲方无正当理由拒收接受服务，到期拒付服务款项的，甲方向乙方偿付本合同总的5%的违约金。甲方人逾期付款，则每日按</w:t>
      </w:r>
      <w:r>
        <w:rPr>
          <w:b/>
          <w:sz w:val="24"/>
        </w:rPr>
        <w:t>欠付金额</w:t>
      </w:r>
      <w:r>
        <w:rPr>
          <w:sz w:val="24"/>
        </w:rPr>
        <w:t>的</w:t>
      </w:r>
      <w:r>
        <w:rPr>
          <w:sz w:val="24"/>
        </w:rPr>
        <w:t>3‰向乙方偿付违约金。</w:t>
      </w:r>
    </w:p>
    <w:p>
      <w:pPr>
        <w:ind w:firstLine="480"/>
        <w:jc w:val="both"/>
      </w:pPr>
      <w:r>
        <w:rPr>
          <w:sz w:val="24"/>
        </w:rPr>
        <w:t>4.对于因甲方原因导致变更、中止或者终止政府采购合同的，甲方应当依照以下合同约定对供应商受到的损失予以赔偿或者补偿：</w:t>
      </w:r>
    </w:p>
    <w:p>
      <w:r>
        <w:rPr>
          <w:b/>
          <w:sz w:val="24"/>
        </w:rPr>
        <w:t>5.本条约定的乙方应承担的违约金与甲方损失，甲方可以在未付款项中直接扣除；</w:t>
      </w:r>
    </w:p>
    <w:p>
      <w:pPr>
        <w:jc w:val="both"/>
      </w:pPr>
      <w:r>
        <w:rPr>
          <w:sz w:val="24"/>
        </w:rPr>
        <w:t>6</w:t>
      </w:r>
      <w:r>
        <w:rPr>
          <w:sz w:val="24"/>
        </w:rPr>
        <w:t>.其它违约责任按《中华人民共和国民法典(合同编)》处理。”</w:t>
      </w:r>
    </w:p>
    <w:p>
      <w:pPr>
        <w:jc w:val="both"/>
      </w:pPr>
      <w:r>
        <w:rPr>
          <w:b/>
          <w:sz w:val="27"/>
        </w:rPr>
        <w:t>十</w:t>
      </w:r>
      <w:r>
        <w:rPr>
          <w:b/>
          <w:sz w:val="27"/>
        </w:rPr>
        <w:t>、争议的解决</w:t>
      </w:r>
    </w:p>
    <w:p>
      <w:pPr>
        <w:ind w:firstLine="400"/>
        <w:jc w:val="both"/>
      </w:pPr>
      <w:r>
        <w:rPr>
          <w:sz w:val="27"/>
        </w:rPr>
        <w:t>合同执行过程中发生的任何争议，如双方不能通过友好协商解决，</w:t>
      </w:r>
      <w:r>
        <w:rPr>
          <w:sz w:val="27"/>
        </w:rPr>
        <w:t>任何一方可向甲方住所地人民法院起诉</w:t>
      </w:r>
      <w:r>
        <w:rPr>
          <w:sz w:val="27"/>
        </w:rPr>
        <w:t>。</w:t>
      </w:r>
      <w:r>
        <w:rPr>
          <w:sz w:val="21"/>
        </w:rPr>
        <w:t xml:space="preserve">     </w:t>
      </w:r>
    </w:p>
    <w:p>
      <w:pPr>
        <w:jc w:val="both"/>
      </w:pPr>
      <w:r>
        <w:rPr>
          <w:b/>
          <w:sz w:val="27"/>
        </w:rPr>
        <w:t>十</w:t>
      </w:r>
      <w:r>
        <w:rPr>
          <w:b/>
          <w:sz w:val="27"/>
        </w:rPr>
        <w:t>一</w:t>
      </w:r>
      <w:r>
        <w:rPr>
          <w:b/>
          <w:sz w:val="27"/>
        </w:rPr>
        <w:t>、不可抗力</w:t>
      </w:r>
    </w:p>
    <w:p>
      <w:pPr>
        <w:jc w:val="both"/>
      </w:pPr>
      <w:r>
        <w:rPr>
          <w:sz w:val="24"/>
        </w:rPr>
        <w:t>任何一方由于不可抗力原因不能履行合同时，应在不可抗力事件</w:t>
      </w:r>
      <w:r>
        <w:rPr>
          <w:b/>
          <w:sz w:val="24"/>
        </w:rPr>
        <w:t>发生后立即</w:t>
      </w:r>
      <w:r>
        <w:rPr>
          <w:sz w:val="24"/>
        </w:rPr>
        <w:t>向对方通报，</w:t>
      </w:r>
      <w:r>
        <w:rPr>
          <w:b/>
          <w:sz w:val="24"/>
        </w:rPr>
        <w:t>并采取合理措施</w:t>
      </w:r>
      <w:r>
        <w:rPr>
          <w:sz w:val="24"/>
        </w:rPr>
        <w:t>减轻可能给对方造成的损失，在取得有关机构的不可抗力证明或双方谅解确认后，允许延期履行或修订合同，并根据情况可部分或全部免于承担违约责任。</w:t>
      </w:r>
      <w:r>
        <w:rPr>
          <w:b/>
          <w:sz w:val="24"/>
        </w:rPr>
        <w:t>一方迟延履行义务后发生不可抗力事件的</w:t>
      </w:r>
      <w:r>
        <w:rPr>
          <w:b/>
          <w:sz w:val="24"/>
        </w:rPr>
        <w:t>，</w:t>
      </w:r>
      <w:r>
        <w:rPr>
          <w:b/>
          <w:sz w:val="24"/>
        </w:rPr>
        <w:t>不能免除责任</w:t>
      </w:r>
      <w:r>
        <w:rPr>
          <w:b/>
          <w:sz w:val="24"/>
        </w:rPr>
        <w:t>。</w:t>
      </w:r>
    </w:p>
    <w:p>
      <w:pPr>
        <w:jc w:val="both"/>
      </w:pPr>
      <w:r>
        <w:rPr>
          <w:b/>
          <w:sz w:val="27"/>
        </w:rPr>
        <w:t>十</w:t>
      </w:r>
      <w:r>
        <w:rPr>
          <w:b/>
          <w:sz w:val="27"/>
        </w:rPr>
        <w:t>二</w:t>
      </w:r>
      <w:r>
        <w:rPr>
          <w:b/>
          <w:sz w:val="27"/>
        </w:rPr>
        <w:t>、税费</w:t>
      </w:r>
    </w:p>
    <w:p>
      <w:pPr>
        <w:jc w:val="both"/>
      </w:pPr>
      <w:r>
        <w:rPr>
          <w:sz w:val="27"/>
        </w:rPr>
        <w:t>　　在中国境内、外发生的与本合同执行有关的一切税费均由乙方负担。</w:t>
      </w:r>
    </w:p>
    <w:p>
      <w:pPr>
        <w:jc w:val="both"/>
      </w:pPr>
      <w:r>
        <w:rPr>
          <w:b/>
          <w:sz w:val="27"/>
        </w:rPr>
        <w:t>十</w:t>
      </w:r>
      <w:r>
        <w:rPr>
          <w:b/>
          <w:sz w:val="27"/>
        </w:rPr>
        <w:t>三</w:t>
      </w:r>
      <w:r>
        <w:rPr>
          <w:b/>
          <w:sz w:val="27"/>
        </w:rPr>
        <w:t>、其它</w:t>
      </w:r>
    </w:p>
    <w:p>
      <w:pPr>
        <w:jc w:val="both"/>
      </w:pPr>
      <w:r>
        <w:rPr>
          <w:sz w:val="27"/>
        </w:rPr>
        <w:t>1.本合同所有附件、招标文件、投标文件、中标通知书均为合同的有效组成部分，与本合同具有同等法律效力。</w:t>
      </w:r>
    </w:p>
    <w:p>
      <w:pPr>
        <w:jc w:val="both"/>
      </w:pPr>
      <w:r>
        <w:rPr>
          <w:sz w:val="27"/>
        </w:rPr>
        <w:t>2.在执行本合同的过程中，所有经双方签署确认的文件（包括会议纪要、补充协议、往来信函）即成为本合同的有效组成部分。</w:t>
      </w:r>
    </w:p>
    <w:p>
      <w:pPr>
        <w:jc w:val="both"/>
      </w:pPr>
      <w:r>
        <w:rPr>
          <w:sz w:val="27"/>
        </w:rPr>
        <w:t>3.如一方地址、电话、传真号码有变更，应在变更当日内书面通知对方，否则，应承担相应责任。</w:t>
      </w:r>
    </w:p>
    <w:p>
      <w:pPr>
        <w:jc w:val="both"/>
      </w:pPr>
      <w:r>
        <w:rPr>
          <w:sz w:val="27"/>
        </w:rPr>
        <w:t>4.除甲方事先书面同意外，乙方不得部分或全部转让其应履行的合同项下的义务。</w:t>
      </w:r>
    </w:p>
    <w:p>
      <w:pPr>
        <w:jc w:val="both"/>
      </w:pPr>
      <w:r>
        <w:rPr>
          <w:b/>
          <w:sz w:val="27"/>
        </w:rPr>
        <w:t>十</w:t>
      </w:r>
      <w:r>
        <w:rPr>
          <w:b/>
          <w:sz w:val="27"/>
        </w:rPr>
        <w:t>四</w:t>
      </w:r>
      <w:r>
        <w:rPr>
          <w:b/>
          <w:sz w:val="27"/>
        </w:rPr>
        <w:t>、合同生效</w:t>
      </w:r>
    </w:p>
    <w:p>
      <w:pPr>
        <w:jc w:val="both"/>
      </w:pPr>
      <w:r>
        <w:rPr>
          <w:sz w:val="27"/>
        </w:rPr>
        <w:t>1.本合同在甲乙双方法人代表或其授权代表签字</w:t>
      </w:r>
      <w:r>
        <w:rPr>
          <w:sz w:val="27"/>
        </w:rPr>
        <w:t>并</w:t>
      </w:r>
      <w:r>
        <w:rPr>
          <w:sz w:val="27"/>
        </w:rPr>
        <w:t>盖章后生效。</w:t>
      </w:r>
    </w:p>
    <w:p>
      <w:pPr>
        <w:jc w:val="both"/>
      </w:pPr>
      <w:r>
        <w:rPr>
          <w:sz w:val="27"/>
        </w:rPr>
        <w:t>2.合同一式    份。</w:t>
      </w:r>
    </w:p>
    <w:p>
      <w:pPr>
        <w:jc w:val="both"/>
      </w:pPr>
      <w:r>
        <w:rPr>
          <w:sz w:val="21"/>
        </w:rPr>
        <w:t xml:space="preserve"> </w:t>
      </w:r>
    </w:p>
    <w:p>
      <w:pPr>
        <w:jc w:val="both"/>
      </w:pPr>
      <w:r>
        <w:rPr>
          <w:b/>
          <w:sz w:val="27"/>
        </w:rPr>
        <w:t>甲方（盖章）：</w:t>
      </w:r>
      <w:r>
        <w:rPr>
          <w:b/>
          <w:sz w:val="27"/>
        </w:rPr>
        <w:t xml:space="preserve">                     </w:t>
      </w:r>
      <w:r>
        <w:rPr>
          <w:b/>
          <w:sz w:val="27"/>
        </w:rPr>
        <w:t>乙方（盖章）：</w:t>
      </w:r>
    </w:p>
    <w:p>
      <w:pPr>
        <w:jc w:val="both"/>
      </w:pPr>
      <w:r>
        <w:rPr>
          <w:b/>
          <w:sz w:val="27"/>
        </w:rPr>
        <w:t>代表：</w:t>
      </w:r>
      <w:r>
        <w:rPr>
          <w:b/>
          <w:sz w:val="27"/>
        </w:rPr>
        <w:t xml:space="preserve">                           </w:t>
      </w:r>
      <w:r>
        <w:rPr>
          <w:b/>
          <w:sz w:val="27"/>
        </w:rPr>
        <w:t>代表：</w:t>
      </w:r>
    </w:p>
    <w:p>
      <w:pPr>
        <w:jc w:val="both"/>
      </w:pPr>
      <w:r>
        <w:rPr>
          <w:sz w:val="27"/>
        </w:rPr>
        <w:t>签订地点：</w:t>
      </w:r>
    </w:p>
    <w:p>
      <w:pPr>
        <w:jc w:val="both"/>
      </w:pPr>
      <w:r>
        <w:rPr>
          <w:sz w:val="27"/>
        </w:rPr>
        <w:t>签订日期：　　　年　　月　　日</w:t>
      </w:r>
      <w:r>
        <w:rPr>
          <w:sz w:val="27"/>
        </w:rPr>
        <w:t xml:space="preserve">       </w:t>
      </w:r>
      <w:r>
        <w:rPr>
          <w:sz w:val="27"/>
        </w:rPr>
        <w:t>签订日期：　　　年　　月　　日</w:t>
      </w:r>
    </w:p>
    <w:p>
      <w:pPr>
        <w:jc w:val="both"/>
      </w:pPr>
      <w:r>
        <w:rPr>
          <w:sz w:val="27"/>
        </w:rPr>
        <w:t xml:space="preserve"> </w:t>
      </w:r>
    </w:p>
    <w:p>
      <w:pPr>
        <w:jc w:val="both"/>
      </w:pPr>
      <w:r>
        <w:rPr>
          <w:sz w:val="27"/>
        </w:rPr>
        <w:t xml:space="preserve">开户名称：                                               </w:t>
      </w:r>
      <w:r>
        <w:rPr>
          <w:sz w:val="27"/>
        </w:rPr>
        <w:t>开户名称：</w:t>
      </w:r>
    </w:p>
    <w:p>
      <w:pPr>
        <w:jc w:val="both"/>
      </w:pPr>
      <w:r>
        <w:rPr>
          <w:sz w:val="27"/>
        </w:rPr>
        <w:t xml:space="preserve">银行帐号：                                               </w:t>
      </w:r>
      <w:r>
        <w:rPr>
          <w:sz w:val="27"/>
        </w:rPr>
        <w:t>银行帐号：</w:t>
      </w:r>
    </w:p>
    <w:p>
      <w:pPr>
        <w:jc w:val="both"/>
      </w:pPr>
      <w:r>
        <w:rPr>
          <w:sz w:val="27"/>
        </w:rPr>
        <w:t xml:space="preserve">                                 </w:t>
      </w:r>
    </w:p>
    <w:p>
      <w:pPr>
        <w:jc w:val="both"/>
      </w:pPr>
      <w:r>
        <w:rPr/>
        <w:t xml:space="preserve"> </w:t>
      </w:r>
    </w:p>
    <w:p>
      <w:pPr>
        <w:jc w:val="both"/>
      </w:pPr>
      <w:r>
        <w:rPr/>
        <w:t xml:space="preserve"> </w:t>
      </w:r>
    </w:p>
    <w:p/>
    <w:p>
      <w:r>
        <w:rPr>
          <w:b/>
          <w:sz w:val="21"/>
        </w:rPr>
        <w:t>合同附件：</w:t>
      </w:r>
      <w:r>
        <w:rPr>
          <w:b/>
          <w:sz w:val="21"/>
        </w:rPr>
        <w:t>1.</w:t>
      </w:r>
      <w:r>
        <w:rPr>
          <w:b/>
          <w:color w:val="000000"/>
          <w:sz w:val="21"/>
        </w:rPr>
        <w:t>保密协议</w:t>
      </w:r>
    </w:p>
    <w:p>
      <w:pPr>
        <w:jc w:val="both"/>
      </w:pPr>
    </w:p>
    <w:p>
      <w:pPr>
        <w:ind w:firstLine="480"/>
        <w:jc w:val="both"/>
      </w:pPr>
    </w:p>
    <w:p>
      <w:pPr>
        <w:jc w:val="both"/>
      </w:pPr>
      <w:r>
        <w:rPr>
          <w:sz w:val="21"/>
        </w:rPr>
        <w:t xml:space="preserve"> </w:t>
      </w:r>
    </w:p>
    <w:p>
      <w:pPr>
        <w:jc w:val="both"/>
      </w:pPr>
    </w:p>
    <w:p>
      <w:pPr>
        <w:jc w:val="center"/>
      </w:pPr>
    </w:p>
    <w:p/>
    <w:p>
      <w:pPr>
        <w:jc w:val="center"/>
      </w:pPr>
      <w:r>
        <w:rPr>
          <w:b/>
          <w:sz w:val="44"/>
        </w:rPr>
        <w:t>保</w:t>
      </w:r>
      <w:r>
        <w:rPr>
          <w:b/>
        </w:rPr>
        <w:t xml:space="preserve"> </w:t>
      </w:r>
      <w:r>
        <w:rPr>
          <w:b/>
          <w:sz w:val="44"/>
        </w:rPr>
        <w:t>密</w:t>
      </w:r>
      <w:r>
        <w:rPr>
          <w:b/>
        </w:rPr>
        <w:t xml:space="preserve"> </w:t>
      </w:r>
      <w:r>
        <w:rPr>
          <w:b/>
          <w:sz w:val="44"/>
        </w:rPr>
        <w:t>协</w:t>
      </w:r>
      <w:r>
        <w:rPr>
          <w:b/>
        </w:rPr>
        <w:t xml:space="preserve"> </w:t>
      </w:r>
      <w:r>
        <w:rPr>
          <w:b/>
          <w:sz w:val="44"/>
        </w:rPr>
        <w:t>议</w:t>
      </w:r>
    </w:p>
    <w:p>
      <w:r>
        <w:rPr/>
        <w:t xml:space="preserve"> </w:t>
      </w:r>
    </w:p>
    <w:p>
      <w:pPr>
        <w:jc w:val="both"/>
      </w:pPr>
    </w:p>
    <w:p>
      <w:pPr>
        <w:jc w:val="both"/>
      </w:pPr>
      <w:r>
        <w:rPr>
          <w:sz w:val="24"/>
        </w:rPr>
        <w:t>甲方（披露方）：</w:t>
      </w:r>
    </w:p>
    <w:p>
      <w:r>
        <w:rPr>
          <w:sz w:val="24"/>
        </w:rPr>
        <w:t>乙方（接收方）：</w:t>
      </w:r>
    </w:p>
    <w:p>
      <w:pPr>
        <w:jc w:val="both"/>
      </w:pPr>
      <w:r>
        <w:rPr>
          <w:sz w:val="24"/>
        </w:rPr>
        <w:t xml:space="preserve">    </w:t>
      </w:r>
      <w:r>
        <w:rPr>
          <w:sz w:val="24"/>
        </w:rPr>
        <w:t>鉴于乙方为甲方提供</w:t>
      </w:r>
      <w:r>
        <w:rPr>
          <w:i/>
          <w:sz w:val="21"/>
        </w:rPr>
        <w:t xml:space="preserve">            </w:t>
      </w:r>
      <w:r>
        <w:rPr>
          <w:sz w:val="24"/>
        </w:rPr>
        <w:t>服务</w:t>
      </w:r>
      <w:r>
        <w:rPr>
          <w:sz w:val="24"/>
        </w:rPr>
        <w:t>，在此过程中乙方获悉了甲方</w:t>
      </w:r>
      <w:r>
        <w:rPr>
          <w:sz w:val="24"/>
        </w:rPr>
        <w:t>相应</w:t>
      </w:r>
      <w:r>
        <w:rPr>
          <w:sz w:val="24"/>
        </w:rPr>
        <w:t>的秘密信息。乙方已了解所获悉的信息均为甲方的保密信息（以下称</w:t>
      </w:r>
      <w:r>
        <w:rPr>
          <w:sz w:val="24"/>
        </w:rPr>
        <w:t>“保密信息”）并需按照《中华人民共和国保守国家秘密法》等法律法规等对该保密信息严格保密，并且保证不向任何第三方透露、给予、传达该信息。双方对保密事宜确认如下：</w:t>
      </w:r>
    </w:p>
    <w:p>
      <w:pPr>
        <w:jc w:val="both"/>
      </w:pPr>
      <w:r>
        <w:rPr>
          <w:sz w:val="21"/>
        </w:rPr>
        <w:t xml:space="preserve">    </w:t>
      </w:r>
      <w:r>
        <w:rPr>
          <w:b/>
          <w:sz w:val="24"/>
        </w:rPr>
        <w:t>一、乙方应履行如下义务：</w:t>
      </w:r>
    </w:p>
    <w:p>
      <w:pPr>
        <w:jc w:val="both"/>
      </w:pPr>
      <w:r>
        <w:rPr>
          <w:sz w:val="24"/>
        </w:rPr>
        <w:t xml:space="preserve">    </w:t>
      </w:r>
      <w:r>
        <w:rPr>
          <w:sz w:val="24"/>
        </w:rPr>
        <w:t>乙方应审慎并适当保存保密信息，并对信息严格保密。</w:t>
      </w:r>
    </w:p>
    <w:p>
      <w:pPr>
        <w:jc w:val="both"/>
      </w:pPr>
      <w:r>
        <w:rPr>
          <w:sz w:val="24"/>
        </w:rPr>
        <w:t xml:space="preserve">    </w:t>
      </w:r>
      <w:r>
        <w:rPr>
          <w:sz w:val="24"/>
        </w:rPr>
        <w:t>在其为甲方提供服务过程中接触到的任何甲方文件和资料等，乙方为履行合同向甲方出具的所有法律文件，未经甲方书面同意，不得作合同以外的任何目的使用，不得为任何目的、以任何方式向合同以外的第三方提供。</w:t>
      </w:r>
    </w:p>
    <w:p>
      <w:pPr>
        <w:jc w:val="both"/>
      </w:pPr>
      <w:r>
        <w:rPr>
          <w:sz w:val="21"/>
        </w:rPr>
        <w:t xml:space="preserve">    </w:t>
      </w:r>
      <w:r>
        <w:rPr>
          <w:b/>
          <w:sz w:val="24"/>
        </w:rPr>
        <w:t>二、如依任何司法机关或政府部门要求或命令，乙方需披露保密信息，乙方应：</w:t>
      </w:r>
    </w:p>
    <w:p>
      <w:pPr>
        <w:jc w:val="both"/>
      </w:pPr>
      <w:r>
        <w:rPr>
          <w:sz w:val="24"/>
        </w:rPr>
        <w:t xml:space="preserve">    </w:t>
      </w:r>
      <w:r>
        <w:rPr>
          <w:sz w:val="24"/>
        </w:rPr>
        <w:t>1、在披露前向甲方通报；</w:t>
      </w:r>
    </w:p>
    <w:p>
      <w:pPr>
        <w:jc w:val="both"/>
      </w:pPr>
      <w:r>
        <w:rPr>
          <w:sz w:val="24"/>
        </w:rPr>
        <w:t xml:space="preserve">    </w:t>
      </w:r>
      <w:r>
        <w:rPr>
          <w:sz w:val="24"/>
        </w:rPr>
        <w:t>2、在甲方对上述要求或命令提出质疑的情况下，给予甲方对该等质疑的任何合法及合理的协助；</w:t>
      </w:r>
    </w:p>
    <w:p>
      <w:pPr>
        <w:jc w:val="both"/>
      </w:pPr>
      <w:r>
        <w:rPr>
          <w:sz w:val="24"/>
        </w:rPr>
        <w:t xml:space="preserve">    </w:t>
      </w:r>
      <w:r>
        <w:rPr>
          <w:sz w:val="24"/>
        </w:rPr>
        <w:t>3、在保密信息依上述要求披露的情况下，应在满足要求提出者的同时，最小限度地披露该信息。</w:t>
      </w:r>
    </w:p>
    <w:p>
      <w:pPr>
        <w:jc w:val="both"/>
      </w:pPr>
      <w:r>
        <w:rPr>
          <w:sz w:val="21"/>
        </w:rPr>
        <w:t xml:space="preserve">    </w:t>
      </w:r>
      <w:r>
        <w:rPr>
          <w:b/>
          <w:sz w:val="24"/>
        </w:rPr>
        <w:t>三、违约责任：</w:t>
      </w:r>
    </w:p>
    <w:p>
      <w:pPr>
        <w:jc w:val="both"/>
      </w:pPr>
      <w:r>
        <w:rPr>
          <w:sz w:val="24"/>
        </w:rPr>
        <w:t xml:space="preserve">    </w:t>
      </w:r>
      <w:r>
        <w:rPr>
          <w:sz w:val="24"/>
        </w:rPr>
        <w:t>乙方违反合同规定，造成甲方秘密泄密的，乙方应当承担违约责任。因泄密而给甲方造成的损失能够确定的，乙方应当向甲方赔偿实际损失；难于确定的，乙方向甲方支付赔偿金人民币</w:t>
      </w:r>
      <w:r>
        <w:rPr>
          <w:sz w:val="24"/>
        </w:rPr>
        <w:t>伍</w:t>
      </w:r>
      <w:r>
        <w:rPr>
          <w:sz w:val="24"/>
        </w:rPr>
        <w:t>万元整。如赔偿金不足以弥补甲方损失的，乙方继续赔偿甲方的直接和间接损失，包括但不限于损失赔偿金及由此产生的诉讼费、律师费和差旅费等。</w:t>
      </w:r>
    </w:p>
    <w:p>
      <w:pPr>
        <w:jc w:val="both"/>
      </w:pPr>
      <w:r>
        <w:rPr>
          <w:sz w:val="24"/>
        </w:rPr>
        <w:t xml:space="preserve">    </w:t>
      </w:r>
      <w:r>
        <w:rPr>
          <w:sz w:val="24"/>
        </w:rPr>
        <w:t>属于《中华人民共和国保守国家秘密法》规制的国家秘密而被乙方非法、违法泄露的，由有关机关依法追究乙方的法律责任。</w:t>
      </w:r>
    </w:p>
    <w:p>
      <w:pPr>
        <w:jc w:val="both"/>
      </w:pPr>
      <w:r>
        <w:rPr>
          <w:sz w:val="21"/>
        </w:rPr>
        <w:t xml:space="preserve">    </w:t>
      </w:r>
      <w:r>
        <w:rPr>
          <w:b/>
          <w:sz w:val="24"/>
        </w:rPr>
        <w:t>四、其他</w:t>
      </w:r>
    </w:p>
    <w:p>
      <w:pPr>
        <w:jc w:val="both"/>
      </w:pPr>
      <w:r>
        <w:rPr>
          <w:sz w:val="24"/>
        </w:rPr>
        <w:t xml:space="preserve">    </w:t>
      </w:r>
      <w:r>
        <w:rPr>
          <w:sz w:val="24"/>
        </w:rPr>
        <w:t>1、本协议终止或提前终止，乙方须将所有包含与此保密义务相关信息的书面，或其他资料送还甲方。保密协议不因本协议及本协议的事项中止、终止而解除。</w:t>
      </w:r>
    </w:p>
    <w:p>
      <w:pPr>
        <w:jc w:val="both"/>
      </w:pPr>
      <w:r>
        <w:rPr>
          <w:sz w:val="24"/>
        </w:rPr>
        <w:t xml:space="preserve">    </w:t>
      </w:r>
      <w:r>
        <w:rPr>
          <w:sz w:val="24"/>
        </w:rPr>
        <w:t>2、保密义务应自双方签章之日起开始生效，本协议应对合约方之继承方和转让方具有同等约束力。</w:t>
      </w:r>
    </w:p>
    <w:p>
      <w:pPr>
        <w:jc w:val="both"/>
      </w:pPr>
      <w:r>
        <w:rPr>
          <w:sz w:val="24"/>
        </w:rPr>
        <w:t xml:space="preserve">    </w:t>
      </w:r>
      <w:r>
        <w:rPr>
          <w:sz w:val="24"/>
        </w:rPr>
        <w:t>3、任何因执行本协议所发生的或与本协议有关的争议，应友好协商解决。协商不成需诉讼的，可向甲方所在地的人民法院起诉。</w:t>
      </w:r>
    </w:p>
    <w:p>
      <w:pPr>
        <w:jc w:val="both"/>
      </w:pPr>
      <w:r>
        <w:rPr>
          <w:sz w:val="24"/>
        </w:rPr>
        <w:t xml:space="preserve">    </w:t>
      </w:r>
      <w:r>
        <w:rPr>
          <w:sz w:val="24"/>
        </w:rPr>
        <w:t>4、本协议一式两份，双方各执一份，具有同等法律效力。本协议由双方签署盖章签字后生效。</w:t>
      </w:r>
    </w:p>
    <w:p>
      <w:pPr>
        <w:jc w:val="both"/>
      </w:pPr>
    </w:p>
    <w:p>
      <w:pPr>
        <w:jc w:val="both"/>
      </w:pPr>
    </w:p>
    <w:p>
      <w:pPr>
        <w:jc w:val="both"/>
      </w:pPr>
      <w:r>
        <w:rPr>
          <w:sz w:val="21"/>
        </w:rPr>
        <w:t>甲方（盖章）：</w:t>
      </w:r>
      <w:r>
        <w:rPr>
          <w:sz w:val="21"/>
        </w:rPr>
        <w:t xml:space="preserve">                               </w:t>
      </w:r>
      <w:r>
        <w:rPr>
          <w:sz w:val="21"/>
        </w:rPr>
        <w:t>乙方（盖章）：</w:t>
      </w:r>
    </w:p>
    <w:p>
      <w:pPr>
        <w:jc w:val="both"/>
      </w:pPr>
    </w:p>
    <w:p>
      <w:pPr>
        <w:jc w:val="both"/>
      </w:pPr>
      <w:r>
        <w:rPr>
          <w:sz w:val="21"/>
        </w:rPr>
        <w:t>代表：</w:t>
      </w:r>
      <w:r>
        <w:rPr>
          <w:sz w:val="21"/>
        </w:rPr>
        <w:t xml:space="preserve">                                      </w:t>
      </w:r>
      <w:r>
        <w:rPr>
          <w:sz w:val="21"/>
        </w:rPr>
        <w:t>代表：</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p>
    <w:p/>
    <w:p>
      <w:r>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440001-2023-38085</w:t>
      </w:r>
    </w:p>
    <w:p>
      <w:pPr>
        <w:jc w:val="center"/>
      </w:pPr>
      <w:r>
        <w:rPr>
          <w:b/>
          <w:sz w:val="24"/>
        </w:rPr>
        <w:t>采购项目编号：</w:t>
      </w:r>
      <w:r>
        <w:rPr>
          <w:b/>
          <w:sz w:val="24"/>
        </w:rPr>
        <w:t>0877-23GZTP01F220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广东广招招标采购有限公司</w:t>
      </w:r>
    </w:p>
    <w:p>
      <w:pPr>
        <w:ind w:firstLine="480"/>
      </w:pPr>
      <w:r>
        <w:rPr/>
        <w:t>你方组织的</w:t>
      </w:r>
      <w:r>
        <w:rPr>
          <w:u w:val="single"/>
        </w:rPr>
        <w:t>“</w:t>
      </w:r>
      <w:r>
        <w:rPr>
          <w:u w:val="single"/>
        </w:rPr>
        <w:t>广东省森林火险预警监测系统维护维修技术支撑项目（2023年）</w:t>
      </w:r>
      <w:r>
        <w:rPr>
          <w:u w:val="single"/>
        </w:rPr>
        <w:t>”</w:t>
      </w:r>
      <w:r>
        <w:rPr/>
        <w:t>项目的竞争性磋商[采购项目编号为：</w:t>
      </w:r>
      <w:r>
        <w:rPr>
          <w:u w:val="single"/>
        </w:rPr>
        <w:t>0877-23GZTP01F220</w:t>
      </w:r>
      <w:r>
        <w:rPr/>
        <w:t>]，我方愿参与响应。</w:t>
      </w:r>
    </w:p>
    <w:p>
      <w:pPr>
        <w:ind w:firstLine="480"/>
      </w:pPr>
      <w:r>
        <w:rPr/>
        <w:t>我方确认收到贵方提供的</w:t>
      </w:r>
      <w:r>
        <w:rPr>
          <w:u w:val="single"/>
        </w:rPr>
        <w:t>“</w:t>
      </w:r>
      <w:r>
        <w:rPr>
          <w:u w:val="single"/>
        </w:rPr>
        <w:t>广东省森林火险预警监测系统维护维修技术支撑项目（2023年）</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广东广招招标采购有限公司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广东省森林火险预警监测系统维护维修技术支撑项目（2023年）</w:t>
      </w:r>
      <w:r>
        <w:rPr/>
        <w:t>”项目采购[采购项目编号为</w:t>
      </w:r>
      <w:r>
        <w:rPr/>
        <w:t>0877-23GZTP01F220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广东省航空护林站（广东省林火卫星监测中心）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广东广招招标采购有限公司</w:t>
      </w:r>
    </w:p>
    <w:p>
      <w:pPr>
        <w:ind w:firstLine="480"/>
      </w:pPr>
      <w:r>
        <w:rPr/>
        <w:t>我单位参加贵公司组织的</w:t>
      </w:r>
      <w:r>
        <w:rPr/>
        <w:t>广东省森林火险预警监测系统维护维修技术支撑项目（2023年）</w:t>
      </w:r>
      <w:r>
        <w:rPr/>
        <w:t>（采购项目编号：</w:t>
      </w:r>
      <w:r>
        <w:rPr/>
        <w:t>0877-23GZTP01F220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广东广招招标采购有限公司</w:t>
      </w:r>
    </w:p>
    <w:p>
      <w:pPr>
        <w:ind w:firstLine="480"/>
      </w:pPr>
      <w:r>
        <w:rPr/>
        <w:t>我单位已登记并准备参与“</w:t>
      </w:r>
      <w:r>
        <w:rPr/>
        <w:t>广东省森林火险预警监测系统维护维修技术支撑项目（2023年）</w:t>
      </w:r>
      <w:r>
        <w:rPr/>
        <w:t>”项目（采购项目编号：</w:t>
      </w:r>
      <w:r>
        <w:rPr/>
        <w:t>0877-23GZTP01F220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