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1"/>
        <w:jc w:val="center"/>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b/>
          <w:sz w:val="44"/>
          <w:szCs w:val="36"/>
        </w:rPr>
      </w:pPr>
      <w:r>
        <w:rPr>
          <w:rFonts w:hint="eastAsia" w:ascii="微软雅黑" w:hAnsi="微软雅黑" w:eastAsia="微软雅黑"/>
          <w:b/>
          <w:sz w:val="44"/>
          <w:szCs w:val="36"/>
        </w:rPr>
        <w:t>2023年广东省（阳江）海上大型综合应急演习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微软雅黑" w:hAnsi="微软雅黑" w:eastAsia="微软雅黑"/>
          <w:b/>
          <w:sz w:val="44"/>
          <w:szCs w:val="36"/>
        </w:rPr>
      </w:pPr>
      <w:r>
        <w:rPr>
          <w:rFonts w:hint="eastAsia" w:ascii="微软雅黑" w:hAnsi="微软雅黑" w:eastAsia="微软雅黑"/>
          <w:b/>
          <w:sz w:val="44"/>
          <w:szCs w:val="36"/>
        </w:rPr>
        <w:t>组织服务采购项目</w:t>
      </w:r>
    </w:p>
    <w:p>
      <w:pPr>
        <w:tabs>
          <w:tab w:val="left" w:pos="2688"/>
        </w:tabs>
        <w:spacing w:line="360" w:lineRule="auto"/>
        <w:ind w:left="-2" w:leftChars="-1"/>
        <w:jc w:val="center"/>
        <w:rPr>
          <w:rFonts w:ascii="微软雅黑" w:hAnsi="微软雅黑" w:eastAsia="微软雅黑"/>
          <w:b/>
          <w:sz w:val="44"/>
          <w:szCs w:val="36"/>
        </w:rPr>
      </w:pPr>
      <w:r>
        <w:rPr>
          <w:rFonts w:hint="eastAsia" w:ascii="微软雅黑" w:hAnsi="微软雅黑" w:eastAsia="微软雅黑"/>
          <w:b/>
          <w:sz w:val="44"/>
          <w:szCs w:val="36"/>
        </w:rPr>
        <w:t>项目编号：YL202310303</w:t>
      </w:r>
    </w:p>
    <w:p>
      <w:pPr>
        <w:spacing w:line="360" w:lineRule="auto"/>
      </w:pPr>
    </w:p>
    <w:p>
      <w:pPr>
        <w:rPr>
          <w:rFonts w:ascii="微软雅黑" w:hAnsi="微软雅黑" w:eastAsia="微软雅黑"/>
          <w:szCs w:val="36"/>
        </w:rPr>
      </w:pPr>
    </w:p>
    <w:p>
      <w:pPr>
        <w:spacing w:line="360" w:lineRule="auto"/>
        <w:jc w:val="center"/>
        <w:rPr>
          <w:rFonts w:ascii="微软雅黑" w:hAnsi="微软雅黑" w:eastAsia="微软雅黑"/>
          <w:b/>
          <w:sz w:val="56"/>
          <w:szCs w:val="36"/>
        </w:rPr>
      </w:pPr>
    </w:p>
    <w:p>
      <w:pPr>
        <w:spacing w:line="360" w:lineRule="auto"/>
        <w:jc w:val="center"/>
        <w:rPr>
          <w:rFonts w:ascii="微软雅黑" w:hAnsi="微软雅黑" w:eastAsia="微软雅黑"/>
          <w:b/>
          <w:sz w:val="56"/>
          <w:szCs w:val="36"/>
        </w:rPr>
      </w:pPr>
      <w:r>
        <w:rPr>
          <w:rFonts w:hint="eastAsia" w:ascii="微软雅黑" w:hAnsi="微软雅黑" w:eastAsia="微软雅黑"/>
          <w:b/>
          <w:sz w:val="56"/>
          <w:szCs w:val="36"/>
        </w:rPr>
        <w:t>磋 商 文 件</w:t>
      </w:r>
    </w:p>
    <w:p/>
    <w:p/>
    <w:p>
      <w:pPr>
        <w:ind w:firstLine="869"/>
      </w:pPr>
    </w:p>
    <w:p>
      <w:pPr>
        <w:pStyle w:val="12"/>
      </w:pPr>
    </w:p>
    <w:p/>
    <w:p/>
    <w:p/>
    <w:p/>
    <w:p/>
    <w:p>
      <w:pPr>
        <w:spacing w:line="360" w:lineRule="auto"/>
        <w:jc w:val="center"/>
        <w:rPr>
          <w:rFonts w:ascii="微软雅黑" w:hAnsi="微软雅黑" w:eastAsia="微软雅黑"/>
          <w:sz w:val="28"/>
          <w:szCs w:val="36"/>
        </w:rPr>
      </w:pPr>
      <w:r>
        <w:rPr>
          <w:rFonts w:hint="eastAsia" w:ascii="微软雅黑" w:hAnsi="微软雅黑" w:eastAsia="微软雅黑"/>
          <w:sz w:val="28"/>
          <w:szCs w:val="36"/>
        </w:rPr>
        <w:t xml:space="preserve">采购人：广东省应急管理厅 </w:t>
      </w:r>
    </w:p>
    <w:p>
      <w:pPr>
        <w:spacing w:line="360" w:lineRule="auto"/>
        <w:jc w:val="center"/>
        <w:rPr>
          <w:rFonts w:ascii="微软雅黑" w:hAnsi="微软雅黑" w:eastAsia="微软雅黑"/>
          <w:sz w:val="28"/>
          <w:szCs w:val="36"/>
        </w:rPr>
      </w:pPr>
      <w:r>
        <w:rPr>
          <w:rFonts w:hint="eastAsia" w:ascii="微软雅黑" w:hAnsi="微软雅黑" w:eastAsia="微软雅黑"/>
          <w:sz w:val="28"/>
          <w:szCs w:val="36"/>
        </w:rPr>
        <w:t>采购代理机构：粤廉（广东）招标代理有限公司</w:t>
      </w:r>
    </w:p>
    <w:p>
      <w:pPr>
        <w:spacing w:line="360" w:lineRule="auto"/>
        <w:jc w:val="center"/>
        <w:rPr>
          <w:rFonts w:ascii="微软雅黑" w:hAnsi="微软雅黑" w:eastAsia="微软雅黑"/>
          <w:sz w:val="28"/>
          <w:szCs w:val="36"/>
        </w:rPr>
      </w:pPr>
      <w:r>
        <w:rPr>
          <w:rFonts w:ascii="微软雅黑" w:hAnsi="微软雅黑" w:eastAsia="微软雅黑"/>
          <w:sz w:val="28"/>
          <w:szCs w:val="36"/>
        </w:rPr>
        <w:t>日期：</w:t>
      </w:r>
      <w:r>
        <w:rPr>
          <w:rFonts w:hint="eastAsia" w:ascii="微软雅黑" w:hAnsi="微软雅黑" w:eastAsia="微软雅黑"/>
          <w:sz w:val="28"/>
          <w:szCs w:val="36"/>
        </w:rPr>
        <w:t>2023年10月</w:t>
      </w:r>
    </w:p>
    <w:p>
      <w:pPr>
        <w:pStyle w:val="21"/>
        <w:sectPr>
          <w:headerReference r:id="rId5" w:type="default"/>
          <w:footerReference r:id="rId6" w:type="default"/>
          <w:pgSz w:w="11906" w:h="16838"/>
          <w:pgMar w:top="1440" w:right="1080" w:bottom="1440" w:left="1080" w:header="709" w:footer="848" w:gutter="0"/>
          <w:pgNumType w:start="1"/>
          <w:cols w:space="720" w:num="1"/>
          <w:docGrid w:linePitch="312" w:charSpace="0"/>
        </w:sectPr>
      </w:pPr>
    </w:p>
    <w:p>
      <w:pPr>
        <w:spacing w:before="120" w:beforeLines="50" w:after="120" w:afterLines="50"/>
        <w:jc w:val="center"/>
        <w:rPr>
          <w:rFonts w:ascii="微软雅黑" w:hAnsi="微软雅黑" w:eastAsia="微软雅黑"/>
          <w:b/>
          <w:sz w:val="28"/>
          <w:szCs w:val="52"/>
        </w:rPr>
      </w:pPr>
      <w:bookmarkStart w:id="0" w:name="_Toc536630032"/>
      <w:bookmarkStart w:id="1" w:name="_Toc536717643"/>
      <w:r>
        <w:rPr>
          <w:rFonts w:hint="eastAsia" w:ascii="微软雅黑" w:hAnsi="微软雅黑" w:eastAsia="微软雅黑"/>
          <w:b/>
          <w:sz w:val="28"/>
          <w:szCs w:val="52"/>
        </w:rPr>
        <w:t>温馨提示</w:t>
      </w:r>
      <w:bookmarkEnd w:id="0"/>
      <w:bookmarkEnd w:id="1"/>
      <w:r>
        <w:rPr>
          <w:rFonts w:hint="eastAsia" w:ascii="微软雅黑" w:hAnsi="微软雅黑" w:eastAsia="微软雅黑"/>
          <w:b/>
          <w:sz w:val="28"/>
          <w:szCs w:val="52"/>
        </w:rPr>
        <w:t>：响应供应商特别注意事项</w:t>
      </w:r>
    </w:p>
    <w:p>
      <w:pPr>
        <w:pStyle w:val="16"/>
        <w:spacing w:before="312" w:after="312" w:line="360" w:lineRule="auto"/>
        <w:outlineLvl w:val="9"/>
        <w:rPr>
          <w:rFonts w:ascii="仿宋" w:hAnsi="仿宋" w:eastAsia="仿宋"/>
          <w:bCs w:val="0"/>
          <w:sz w:val="24"/>
        </w:rPr>
      </w:pPr>
      <w:bookmarkStart w:id="2" w:name="_Toc1036"/>
      <w:bookmarkStart w:id="3" w:name="_Toc536630033"/>
      <w:bookmarkStart w:id="4" w:name="_Toc91288807"/>
      <w:bookmarkStart w:id="5" w:name="_Toc9258"/>
      <w:bookmarkStart w:id="6" w:name="_Toc536717644"/>
      <w:r>
        <w:rPr>
          <w:rFonts w:hint="eastAsia" w:ascii="仿宋" w:hAnsi="仿宋" w:eastAsia="仿宋"/>
          <w:bCs w:val="0"/>
          <w:sz w:val="24"/>
        </w:rPr>
        <w:t>（本提示内容非磋商文件的组成部分，仅为善意提醒。如有不一致，以磋商文件为准）</w:t>
      </w:r>
      <w:bookmarkEnd w:id="2"/>
      <w:bookmarkEnd w:id="3"/>
      <w:bookmarkEnd w:id="4"/>
      <w:bookmarkEnd w:id="5"/>
      <w:bookmarkEnd w:id="6"/>
    </w:p>
    <w:p>
      <w:pPr>
        <w:numPr>
          <w:ilvl w:val="0"/>
          <w:numId w:val="1"/>
        </w:numPr>
        <w:tabs>
          <w:tab w:val="left" w:pos="284"/>
        </w:tabs>
        <w:spacing w:line="360" w:lineRule="auto"/>
        <w:rPr>
          <w:rFonts w:ascii="仿宋" w:hAnsi="仿宋" w:eastAsia="仿宋"/>
          <w:sz w:val="24"/>
          <w:szCs w:val="21"/>
        </w:rPr>
      </w:pPr>
      <w:r>
        <w:rPr>
          <w:rFonts w:hint="eastAsia" w:ascii="仿宋" w:hAnsi="仿宋" w:eastAsia="仿宋"/>
          <w:sz w:val="24"/>
          <w:szCs w:val="21"/>
        </w:rPr>
        <w:t>请响应供应商特别留意磋商文件上注明的响应文件提交截止时间，逾期送达或邮寄送达的响应文件我司恕不接收。如无另行说明，响应文件递交时间为响应截止时间之前30分钟内。为避免因迟到而失去响应资格，建议适当提前到达。</w:t>
      </w:r>
    </w:p>
    <w:p>
      <w:pPr>
        <w:pStyle w:val="21"/>
      </w:pPr>
    </w:p>
    <w:p>
      <w:pPr>
        <w:numPr>
          <w:ilvl w:val="0"/>
          <w:numId w:val="1"/>
        </w:numPr>
        <w:tabs>
          <w:tab w:val="left" w:pos="426"/>
        </w:tabs>
        <w:spacing w:line="360" w:lineRule="auto"/>
        <w:rPr>
          <w:rFonts w:ascii="仿宋" w:hAnsi="仿宋" w:eastAsia="仿宋"/>
          <w:sz w:val="24"/>
          <w:szCs w:val="21"/>
        </w:rPr>
      </w:pPr>
      <w:r>
        <w:rPr>
          <w:rFonts w:hint="eastAsia" w:ascii="仿宋" w:hAnsi="仿宋" w:eastAsia="仿宋"/>
          <w:sz w:val="24"/>
          <w:szCs w:val="21"/>
        </w:rPr>
        <w:t>磋商文件中如标注“★”的条款，响应供应商必须一一响应。若有一项带“★”的指标要求未响应或不满足，其响应文件作无效处理。响应文件应按顺序编制页码，请仔细检查响应文件是否已按磋商文件要求盖章、签名、签署日期。</w:t>
      </w:r>
    </w:p>
    <w:p>
      <w:pPr>
        <w:pStyle w:val="21"/>
      </w:pPr>
    </w:p>
    <w:p>
      <w:pPr>
        <w:pStyle w:val="21"/>
      </w:pPr>
    </w:p>
    <w:p>
      <w:pPr>
        <w:numPr>
          <w:ilvl w:val="0"/>
          <w:numId w:val="1"/>
        </w:numPr>
        <w:tabs>
          <w:tab w:val="left" w:pos="284"/>
          <w:tab w:val="left" w:pos="426"/>
        </w:tabs>
        <w:spacing w:line="360" w:lineRule="auto"/>
        <w:rPr>
          <w:rFonts w:ascii="仿宋" w:hAnsi="仿宋" w:eastAsia="仿宋"/>
          <w:sz w:val="24"/>
          <w:szCs w:val="21"/>
        </w:rPr>
      </w:pPr>
      <w:r>
        <w:rPr>
          <w:rFonts w:hint="eastAsia" w:ascii="仿宋" w:hAnsi="仿宋" w:eastAsia="仿宋"/>
          <w:sz w:val="24"/>
          <w:szCs w:val="21"/>
        </w:rPr>
        <w:t>分公司参与响应的，需提供具有法人资格的总公司的营业执照副本复印件及授权书。总公司可就本项目或此类项目在一定范围或时间内出具唯一的授权书。响应供应商如需对项目提出询问或质疑，应按磋商文件中询问函或质疑函的要求进行提交。如响应产品属于许可证管理范围内的，须提交相应的许可证复印件。</w:t>
      </w:r>
    </w:p>
    <w:p>
      <w:pPr>
        <w:pStyle w:val="21"/>
      </w:pPr>
    </w:p>
    <w:p>
      <w:pPr>
        <w:numPr>
          <w:ilvl w:val="0"/>
          <w:numId w:val="1"/>
        </w:numPr>
        <w:tabs>
          <w:tab w:val="left" w:pos="284"/>
        </w:tabs>
        <w:spacing w:line="360" w:lineRule="auto"/>
        <w:rPr>
          <w:rFonts w:ascii="仿宋" w:hAnsi="仿宋" w:eastAsia="仿宋" w:cs="宋体"/>
          <w:sz w:val="24"/>
        </w:rPr>
      </w:pPr>
      <w:r>
        <w:rPr>
          <w:rFonts w:hint="eastAsia" w:ascii="仿宋" w:hAnsi="仿宋" w:eastAsia="仿宋" w:cs="宋体"/>
          <w:sz w:val="24"/>
        </w:rPr>
        <w:t>我司不对响应供应商购买磋商文件时提交的相关资料的真伪做出判断，如响应供应商发现相关资料被盗用或复制，建议遵循法律途径解决，追究侵权者责任。对一家响应供应商提交两份不同响应方案的，磋商小组将按磋商文件中有关</w:t>
      </w:r>
      <w:r>
        <w:rPr>
          <w:rFonts w:hint="eastAsia" w:ascii="仿宋" w:hAnsi="仿宋" w:eastAsia="仿宋" w:cs="宋体"/>
          <w:sz w:val="24"/>
          <w:shd w:val="clear" w:color="auto" w:fill="FFFFFF"/>
        </w:rPr>
        <w:t>响应文件无效的规定</w:t>
      </w:r>
      <w:r>
        <w:rPr>
          <w:rFonts w:hint="eastAsia" w:ascii="仿宋" w:hAnsi="仿宋" w:eastAsia="仿宋" w:cs="宋体"/>
          <w:sz w:val="24"/>
        </w:rPr>
        <w:t>处理</w:t>
      </w:r>
      <w:r>
        <w:rPr>
          <w:rFonts w:hint="eastAsia" w:ascii="仿宋" w:hAnsi="仿宋" w:eastAsia="仿宋" w:cs="宋体"/>
          <w:sz w:val="24"/>
          <w:szCs w:val="21"/>
        </w:rPr>
        <w:t>（如有特殊要求的除外）</w:t>
      </w:r>
      <w:r>
        <w:rPr>
          <w:rFonts w:hint="eastAsia" w:ascii="仿宋" w:hAnsi="仿宋" w:eastAsia="仿宋" w:cs="宋体"/>
          <w:sz w:val="24"/>
        </w:rPr>
        <w:t>。</w:t>
      </w:r>
    </w:p>
    <w:p>
      <w:pPr>
        <w:widowControl/>
        <w:jc w:val="left"/>
        <w:rPr>
          <w:rFonts w:ascii="Calibri" w:hAnsi="Calibri"/>
          <w:szCs w:val="22"/>
        </w:rPr>
      </w:pPr>
      <w:r>
        <w:br w:type="page"/>
      </w:r>
    </w:p>
    <w:p>
      <w:pPr>
        <w:pStyle w:val="11"/>
        <w:tabs>
          <w:tab w:val="right" w:leader="dot" w:pos="9736"/>
        </w:tabs>
        <w:spacing w:line="360" w:lineRule="auto"/>
        <w:jc w:val="center"/>
        <w:rPr>
          <w:rFonts w:ascii="宋体" w:hAnsi="宋体"/>
          <w:sz w:val="24"/>
          <w:szCs w:val="24"/>
        </w:rPr>
      </w:pPr>
      <w:r>
        <w:rPr>
          <w:rFonts w:hint="eastAsia" w:ascii="宋体" w:hAnsi="宋体"/>
          <w:sz w:val="24"/>
          <w:szCs w:val="24"/>
        </w:rPr>
        <w:t>目  录</w:t>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"_Toc149248213" </w:instrText>
      </w:r>
      <w:r>
        <w:fldChar w:fldCharType="separate"/>
      </w:r>
      <w:r>
        <w:rPr>
          <w:rStyle w:val="19"/>
          <w:rFonts w:hint="eastAsia" w:asciiTheme="minorEastAsia" w:hAnsiTheme="minorEastAsia" w:eastAsiaTheme="minorEastAsia"/>
          <w:sz w:val="24"/>
          <w:szCs w:val="24"/>
        </w:rPr>
        <w:t>第一章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采购邀请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"_Toc149248214" </w:instrText>
      </w:r>
      <w:r>
        <w:fldChar w:fldCharType="separate"/>
      </w:r>
      <w:r>
        <w:rPr>
          <w:rStyle w:val="19"/>
          <w:rFonts w:hint="eastAsia" w:asciiTheme="minorEastAsia" w:hAnsiTheme="minorEastAsia" w:eastAsiaTheme="minorEastAsia"/>
          <w:sz w:val="24"/>
          <w:szCs w:val="24"/>
        </w:rPr>
        <w:t>第二章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采购需求书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"_Toc149248225" </w:instrText>
      </w:r>
      <w:r>
        <w:fldChar w:fldCharType="separate"/>
      </w:r>
      <w:r>
        <w:rPr>
          <w:rStyle w:val="19"/>
          <w:rFonts w:hint="eastAsia" w:asciiTheme="minorEastAsia" w:hAnsiTheme="minorEastAsia" w:eastAsiaTheme="minorEastAsia"/>
          <w:sz w:val="24"/>
          <w:szCs w:val="24"/>
        </w:rPr>
        <w:t>第三章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合同（样本）</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"_Toc149248244" </w:instrText>
      </w:r>
      <w:r>
        <w:fldChar w:fldCharType="separate"/>
      </w:r>
      <w:r>
        <w:rPr>
          <w:rStyle w:val="19"/>
          <w:rFonts w:hint="eastAsia" w:asciiTheme="minorEastAsia" w:hAnsiTheme="minorEastAsia" w:eastAsiaTheme="minorEastAsia"/>
          <w:sz w:val="24"/>
          <w:szCs w:val="24"/>
        </w:rPr>
        <w:t>第四章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响应须知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"_Toc149248245" </w:instrText>
      </w:r>
      <w:r>
        <w:fldChar w:fldCharType="separate"/>
      </w:r>
      <w:r>
        <w:rPr>
          <w:rStyle w:val="19"/>
          <w:rFonts w:hint="eastAsia" w:asciiTheme="minorEastAsia" w:hAnsiTheme="minorEastAsia" w:eastAsiaTheme="minorEastAsia"/>
          <w:sz w:val="24"/>
          <w:szCs w:val="24"/>
        </w:rPr>
        <w:t>第五章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开标与评标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"_Toc149248246" </w:instrText>
      </w:r>
      <w:r>
        <w:fldChar w:fldCharType="separate"/>
      </w:r>
      <w:r>
        <w:rPr>
          <w:rStyle w:val="19"/>
          <w:rFonts w:hint="eastAsia" w:cs="Tahoma" w:asciiTheme="minorEastAsia" w:hAnsiTheme="minorEastAsia" w:eastAsiaTheme="minorEastAsia"/>
          <w:sz w:val="24"/>
          <w:szCs w:val="24"/>
        </w:rPr>
        <w:t>附表</w:t>
      </w:r>
      <w:r>
        <w:rPr>
          <w:rStyle w:val="19"/>
          <w:rFonts w:cs="Tahoma" w:asciiTheme="minorEastAsia" w:hAnsiTheme="minorEastAsia" w:eastAsiaTheme="minorEastAsia"/>
          <w:sz w:val="24"/>
          <w:szCs w:val="24"/>
        </w:rPr>
        <w:t xml:space="preserve">1 </w:t>
      </w:r>
      <w:r>
        <w:rPr>
          <w:rStyle w:val="19"/>
          <w:rFonts w:hint="eastAsia" w:cs="Tahoma" w:asciiTheme="minorEastAsia" w:hAnsiTheme="minorEastAsia" w:eastAsiaTheme="minorEastAsia"/>
          <w:sz w:val="24"/>
          <w:szCs w:val="24"/>
        </w:rPr>
        <w:t>资格性、符合性审查表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"_Toc149248247" </w:instrText>
      </w:r>
      <w:r>
        <w:fldChar w:fldCharType="separate"/>
      </w:r>
      <w:r>
        <w:rPr>
          <w:rStyle w:val="19"/>
          <w:rFonts w:hint="eastAsia" w:cs="Tahoma" w:asciiTheme="minorEastAsia" w:hAnsiTheme="minorEastAsia" w:eastAsiaTheme="minorEastAsia"/>
          <w:sz w:val="24"/>
          <w:szCs w:val="24"/>
        </w:rPr>
        <w:t>附表</w:t>
      </w:r>
      <w:r>
        <w:rPr>
          <w:rStyle w:val="19"/>
          <w:rFonts w:cs="Tahoma" w:asciiTheme="minorEastAsia" w:hAnsiTheme="minorEastAsia" w:eastAsiaTheme="minorEastAsia"/>
          <w:sz w:val="24"/>
          <w:szCs w:val="24"/>
        </w:rPr>
        <w:t xml:space="preserve">2 </w:t>
      </w:r>
      <w:r>
        <w:rPr>
          <w:rStyle w:val="19"/>
          <w:rFonts w:hint="eastAsia" w:cs="Tahoma" w:asciiTheme="minorEastAsia" w:hAnsiTheme="minorEastAsia" w:eastAsiaTheme="minorEastAsia"/>
          <w:sz w:val="24"/>
          <w:szCs w:val="24"/>
        </w:rPr>
        <w:t>技术响应性评审表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"_Toc149248248" </w:instrText>
      </w:r>
      <w:r>
        <w:fldChar w:fldCharType="separate"/>
      </w:r>
      <w:r>
        <w:rPr>
          <w:rStyle w:val="19"/>
          <w:rFonts w:hint="eastAsia" w:cs="Tahoma" w:asciiTheme="minorEastAsia" w:hAnsiTheme="minorEastAsia" w:eastAsiaTheme="minorEastAsia"/>
          <w:sz w:val="24"/>
          <w:szCs w:val="24"/>
        </w:rPr>
        <w:t>附表</w:t>
      </w:r>
      <w:r>
        <w:rPr>
          <w:rStyle w:val="19"/>
          <w:rFonts w:cs="Tahoma" w:asciiTheme="minorEastAsia" w:hAnsiTheme="minorEastAsia" w:eastAsiaTheme="minorEastAsia"/>
          <w:sz w:val="24"/>
          <w:szCs w:val="24"/>
        </w:rPr>
        <w:t xml:space="preserve">3 </w:t>
      </w:r>
      <w:r>
        <w:rPr>
          <w:rStyle w:val="19"/>
          <w:rFonts w:hint="eastAsia" w:cs="Tahoma" w:asciiTheme="minorEastAsia" w:hAnsiTheme="minorEastAsia" w:eastAsiaTheme="minorEastAsia"/>
          <w:sz w:val="24"/>
          <w:szCs w:val="24"/>
        </w:rPr>
        <w:t>商务响应性评审表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"_Toc149248249" </w:instrText>
      </w:r>
      <w:r>
        <w:fldChar w:fldCharType="separate"/>
      </w:r>
      <w:r>
        <w:rPr>
          <w:rStyle w:val="19"/>
          <w:rFonts w:hint="eastAsia" w:asciiTheme="minorEastAsia" w:hAnsiTheme="minorEastAsia" w:eastAsiaTheme="minorEastAsia"/>
          <w:sz w:val="24"/>
          <w:szCs w:val="24"/>
        </w:rPr>
        <w:t>第六章</w:t>
      </w:r>
      <w:r>
        <w:rPr>
          <w:rStyle w:val="19"/>
          <w:rFonts w:asciiTheme="minorEastAsia" w:hAnsiTheme="minorEastAsia" w:eastAsiaTheme="minorEastAsia"/>
          <w:sz w:val="24"/>
          <w:szCs w:val="24"/>
        </w:rPr>
        <w:t xml:space="preserve"> </w:t>
      </w:r>
      <w:r>
        <w:rPr>
          <w:rStyle w:val="19"/>
          <w:rFonts w:hint="eastAsia"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"_Toc149248250"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1 </w:t>
      </w:r>
      <w:r>
        <w:rPr>
          <w:rStyle w:val="19"/>
          <w:rFonts w:hint="eastAsia" w:cs="Tahoma" w:asciiTheme="minorEastAsia" w:hAnsiTheme="minorEastAsia" w:eastAsiaTheme="minorEastAsia"/>
          <w:sz w:val="24"/>
          <w:szCs w:val="24"/>
        </w:rPr>
        <w:t>响应书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"_Toc149248251"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2 </w:t>
      </w:r>
      <w:r>
        <w:rPr>
          <w:rStyle w:val="19"/>
          <w:rFonts w:hint="eastAsia" w:cs="Tahoma" w:asciiTheme="minorEastAsia" w:hAnsiTheme="minorEastAsia" w:eastAsiaTheme="minorEastAsia"/>
          <w:sz w:val="24"/>
          <w:szCs w:val="24"/>
        </w:rPr>
        <w:t>响应供应商资格声明函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"_Toc149248252" </w:instrText>
      </w:r>
      <w:r>
        <w:fldChar w:fldCharType="separate"/>
      </w:r>
      <w:r>
        <w:rPr>
          <w:rStyle w:val="19"/>
          <w:rFonts w:hint="eastAsia" w:asciiTheme="minorEastAsia" w:hAnsiTheme="minorEastAsia" w:eastAsiaTheme="minorEastAsia"/>
          <w:i w:val="0"/>
          <w:sz w:val="24"/>
          <w:szCs w:val="24"/>
        </w:rPr>
        <w:t>附件</w:t>
      </w:r>
      <w:r>
        <w:rPr>
          <w:rStyle w:val="19"/>
          <w:rFonts w:asciiTheme="minorEastAsia" w:hAnsiTheme="minorEastAsia" w:eastAsiaTheme="minorEastAsia"/>
          <w:i w:val="0"/>
          <w:sz w:val="24"/>
          <w:szCs w:val="24"/>
        </w:rPr>
        <w:t xml:space="preserve">2-1 </w:t>
      </w:r>
      <w:r>
        <w:rPr>
          <w:rStyle w:val="19"/>
          <w:rFonts w:hint="eastAsia" w:asciiTheme="minorEastAsia" w:hAnsiTheme="minorEastAsia" w:eastAsiaTheme="minorEastAsia"/>
          <w:i w:val="0"/>
          <w:sz w:val="24"/>
          <w:szCs w:val="24"/>
        </w:rPr>
        <w:t>营业执照</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_Toc149248252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"_Toc149248253" </w:instrText>
      </w:r>
      <w:r>
        <w:fldChar w:fldCharType="separate"/>
      </w:r>
      <w:r>
        <w:rPr>
          <w:rStyle w:val="19"/>
          <w:rFonts w:hint="eastAsia" w:asciiTheme="minorEastAsia" w:hAnsiTheme="minorEastAsia" w:eastAsiaTheme="minorEastAsia"/>
          <w:i w:val="0"/>
          <w:sz w:val="24"/>
          <w:szCs w:val="24"/>
        </w:rPr>
        <w:t>附件</w:t>
      </w:r>
      <w:r>
        <w:rPr>
          <w:rStyle w:val="19"/>
          <w:rFonts w:asciiTheme="minorEastAsia" w:hAnsiTheme="minorEastAsia" w:eastAsiaTheme="minorEastAsia"/>
          <w:i w:val="0"/>
          <w:sz w:val="24"/>
          <w:szCs w:val="24"/>
        </w:rPr>
        <w:t xml:space="preserve">2-2 </w:t>
      </w:r>
      <w:r>
        <w:rPr>
          <w:rStyle w:val="19"/>
          <w:rFonts w:hint="eastAsia" w:asciiTheme="minorEastAsia" w:hAnsiTheme="minorEastAsia" w:eastAsiaTheme="minorEastAsia"/>
          <w:i w:val="0"/>
          <w:sz w:val="24"/>
          <w:szCs w:val="24"/>
        </w:rPr>
        <w:t>信用信息</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_Toc149248253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"_Toc149248254" </w:instrText>
      </w:r>
      <w:r>
        <w:fldChar w:fldCharType="separate"/>
      </w:r>
      <w:r>
        <w:rPr>
          <w:rStyle w:val="19"/>
          <w:rFonts w:hint="eastAsia" w:asciiTheme="minorEastAsia" w:hAnsiTheme="minorEastAsia" w:eastAsiaTheme="minorEastAsia"/>
          <w:i w:val="0"/>
          <w:sz w:val="24"/>
          <w:szCs w:val="24"/>
        </w:rPr>
        <w:t>附件</w:t>
      </w:r>
      <w:r>
        <w:rPr>
          <w:rStyle w:val="19"/>
          <w:rFonts w:asciiTheme="minorEastAsia" w:hAnsiTheme="minorEastAsia" w:eastAsiaTheme="minorEastAsia"/>
          <w:i w:val="0"/>
          <w:sz w:val="24"/>
          <w:szCs w:val="24"/>
        </w:rPr>
        <w:t xml:space="preserve">2-3 </w:t>
      </w:r>
      <w:r>
        <w:rPr>
          <w:rStyle w:val="19"/>
          <w:rFonts w:hint="eastAsia" w:asciiTheme="minorEastAsia" w:hAnsiTheme="minorEastAsia" w:eastAsiaTheme="minorEastAsia"/>
          <w:i w:val="0"/>
          <w:sz w:val="24"/>
          <w:szCs w:val="24"/>
        </w:rPr>
        <w:t>其他特定资格要求</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_Toc149248254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"_Toc149248255"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3 </w:t>
      </w:r>
      <w:r>
        <w:rPr>
          <w:rStyle w:val="19"/>
          <w:rFonts w:hint="eastAsia" w:cs="Tahoma" w:asciiTheme="minorEastAsia" w:hAnsiTheme="minorEastAsia" w:eastAsiaTheme="minorEastAsia"/>
          <w:sz w:val="24"/>
          <w:szCs w:val="24"/>
        </w:rPr>
        <w:t>法定代表人证明书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"_Toc149248256"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4 </w:t>
      </w:r>
      <w:r>
        <w:rPr>
          <w:rStyle w:val="19"/>
          <w:rFonts w:hint="eastAsia" w:cs="Tahoma" w:asciiTheme="minorEastAsia" w:hAnsiTheme="minorEastAsia" w:eastAsiaTheme="minorEastAsia"/>
          <w:sz w:val="24"/>
          <w:szCs w:val="24"/>
        </w:rPr>
        <w:t>法定代表人授权委托书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"_Toc149248257"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5 </w:t>
      </w:r>
      <w:r>
        <w:rPr>
          <w:rStyle w:val="19"/>
          <w:rFonts w:hint="eastAsia" w:cs="Tahoma" w:asciiTheme="minorEastAsia" w:hAnsiTheme="minorEastAsia" w:eastAsiaTheme="minorEastAsia"/>
          <w:sz w:val="24"/>
          <w:szCs w:val="24"/>
        </w:rPr>
        <w:t>采购需求书响应表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"_Toc149248258"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6 </w:t>
      </w:r>
      <w:r>
        <w:rPr>
          <w:rStyle w:val="19"/>
          <w:rFonts w:hint="eastAsia" w:cs="Tahoma" w:asciiTheme="minorEastAsia" w:hAnsiTheme="minorEastAsia" w:eastAsiaTheme="minorEastAsia"/>
          <w:sz w:val="24"/>
          <w:szCs w:val="24"/>
        </w:rPr>
        <w:t>交纳服务费承诺书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"_Toc149248259"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7 </w:t>
      </w:r>
      <w:r>
        <w:rPr>
          <w:rStyle w:val="19"/>
          <w:rFonts w:hint="eastAsia" w:cs="Tahoma" w:asciiTheme="minorEastAsia" w:hAnsiTheme="minorEastAsia" w:eastAsiaTheme="minorEastAsia"/>
          <w:sz w:val="24"/>
          <w:szCs w:val="24"/>
        </w:rPr>
        <w:t>项目经验一览表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"_Toc149248260"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8 </w:t>
      </w:r>
      <w:r>
        <w:rPr>
          <w:rStyle w:val="19"/>
          <w:rFonts w:hint="eastAsia" w:cs="Tahoma" w:asciiTheme="minorEastAsia" w:hAnsiTheme="minorEastAsia" w:eastAsiaTheme="minorEastAsia"/>
          <w:sz w:val="24"/>
          <w:szCs w:val="24"/>
        </w:rPr>
        <w:t>企业证书情况表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"_Toc149248261"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9 </w:t>
      </w:r>
      <w:r>
        <w:rPr>
          <w:rStyle w:val="19"/>
          <w:rFonts w:hint="eastAsia" w:cs="Tahoma" w:asciiTheme="minorEastAsia" w:hAnsiTheme="minorEastAsia" w:eastAsiaTheme="minorEastAsia"/>
          <w:sz w:val="24"/>
          <w:szCs w:val="24"/>
        </w:rPr>
        <w:t>其他评审要求资料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"_Toc149248262"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10 </w:t>
      </w:r>
      <w:r>
        <w:rPr>
          <w:rStyle w:val="19"/>
          <w:rFonts w:hint="eastAsia" w:cs="Tahoma" w:asciiTheme="minorEastAsia" w:hAnsiTheme="minorEastAsia" w:eastAsiaTheme="minorEastAsia"/>
          <w:sz w:val="24"/>
          <w:szCs w:val="24"/>
        </w:rPr>
        <w:t>报价一览表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"_Toc149248263" </w:instrText>
      </w:r>
      <w:r>
        <w:fldChar w:fldCharType="separate"/>
      </w:r>
      <w:r>
        <w:rPr>
          <w:rStyle w:val="19"/>
          <w:rFonts w:hint="eastAsia" w:cs="Tahoma" w:asciiTheme="minorEastAsia" w:hAnsiTheme="minorEastAsia" w:eastAsiaTheme="minorEastAsia"/>
          <w:sz w:val="24"/>
          <w:szCs w:val="24"/>
        </w:rPr>
        <w:t>附件</w:t>
      </w:r>
      <w:r>
        <w:rPr>
          <w:rStyle w:val="19"/>
          <w:rFonts w:cs="Tahoma" w:asciiTheme="minorEastAsia" w:hAnsiTheme="minorEastAsia" w:eastAsiaTheme="minorEastAsia"/>
          <w:sz w:val="24"/>
          <w:szCs w:val="24"/>
        </w:rPr>
        <w:t xml:space="preserve">11 </w:t>
      </w:r>
      <w:r>
        <w:rPr>
          <w:rStyle w:val="19"/>
          <w:rFonts w:hint="eastAsia" w:cs="Tahoma" w:asciiTheme="minorEastAsia" w:hAnsiTheme="minorEastAsia" w:eastAsiaTheme="minorEastAsia"/>
          <w:sz w:val="24"/>
          <w:szCs w:val="24"/>
        </w:rPr>
        <w:t>详细报价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spacing w:line="360" w:lineRule="auto"/>
        <w:rPr>
          <w:rFonts w:asciiTheme="minorEastAsia" w:hAnsiTheme="minorEastAsia" w:eastAsiaTheme="minorEastAsia"/>
          <w:sz w:val="24"/>
          <w:szCs w:val="24"/>
        </w:rPr>
        <w:sectPr>
          <w:headerReference r:id="rId7" w:type="default"/>
          <w:footerReference r:id="rId8" w:type="default"/>
          <w:pgSz w:w="11906" w:h="16838"/>
          <w:pgMar w:top="1440" w:right="1080" w:bottom="1440" w:left="1080" w:header="709" w:footer="848" w:gutter="0"/>
          <w:pgNumType w:start="1"/>
          <w:cols w:space="720" w:num="1"/>
          <w:docGrid w:linePitch="312" w:charSpace="0"/>
        </w:sectPr>
      </w:pPr>
      <w:r>
        <w:rPr>
          <w:rFonts w:ascii="宋体" w:hAnsi="宋体"/>
          <w:sz w:val="24"/>
          <w:szCs w:val="24"/>
        </w:rPr>
        <w:fldChar w:fldCharType="end"/>
      </w:r>
    </w:p>
    <w:p>
      <w:pPr>
        <w:spacing w:line="348" w:lineRule="auto"/>
        <w:jc w:val="center"/>
        <w:outlineLvl w:val="0"/>
        <w:rPr>
          <w:rFonts w:ascii="微软雅黑" w:hAnsi="微软雅黑" w:eastAsia="微软雅黑"/>
          <w:b/>
          <w:sz w:val="28"/>
        </w:rPr>
      </w:pPr>
      <w:bookmarkStart w:id="7" w:name="_Toc297209392"/>
      <w:bookmarkStart w:id="8" w:name="_Toc149248213"/>
      <w:r>
        <w:rPr>
          <w:rFonts w:hint="eastAsia" w:ascii="微软雅黑" w:hAnsi="微软雅黑" w:eastAsia="微软雅黑"/>
          <w:b/>
          <w:sz w:val="28"/>
        </w:rPr>
        <w:t xml:space="preserve">第一章 </w:t>
      </w:r>
      <w:bookmarkEnd w:id="7"/>
      <w:r>
        <w:rPr>
          <w:rFonts w:hint="eastAsia" w:ascii="微软雅黑" w:hAnsi="微软雅黑" w:eastAsia="微软雅黑"/>
          <w:b/>
          <w:sz w:val="28"/>
        </w:rPr>
        <w:t>采购邀请</w:t>
      </w:r>
      <w:bookmarkEnd w:id="8"/>
    </w:p>
    <w:p>
      <w:pPr>
        <w:pStyle w:val="7"/>
        <w:snapToGrid w:val="0"/>
        <w:spacing w:line="348" w:lineRule="auto"/>
        <w:ind w:firstLine="482" w:firstLineChars="200"/>
        <w:rPr>
          <w:rFonts w:ascii="宋体" w:eastAsia="宋体" w:cs="Tahoma"/>
          <w:bCs/>
          <w:sz w:val="24"/>
        </w:rPr>
      </w:pPr>
      <w:r>
        <w:rPr>
          <w:rFonts w:hint="eastAsia" w:ascii="宋体" w:eastAsia="宋体" w:cs="Tahoma"/>
          <w:b/>
          <w:bCs/>
          <w:sz w:val="24"/>
          <w:u w:val="single"/>
        </w:rPr>
        <w:t>2023年广东省（阳江）海上大型综合应急演习组织服务采购项目</w:t>
      </w:r>
      <w:r>
        <w:rPr>
          <w:rFonts w:hint="eastAsia" w:ascii="宋体" w:eastAsia="宋体" w:cs="Tahoma"/>
          <w:bCs/>
          <w:sz w:val="24"/>
        </w:rPr>
        <w:t>的潜在响应供应商应在</w:t>
      </w:r>
      <w:r>
        <w:rPr>
          <w:rFonts w:hint="eastAsia" w:ascii="宋体" w:eastAsia="宋体" w:cs="Tahoma"/>
          <w:b/>
          <w:bCs/>
          <w:sz w:val="24"/>
          <w:u w:val="single"/>
        </w:rPr>
        <w:t>广州市天河区广汕二路13号天河软件园凤凰园区三楼307</w:t>
      </w:r>
      <w:r>
        <w:rPr>
          <w:rFonts w:hint="eastAsia" w:ascii="宋体" w:eastAsia="宋体" w:cs="Tahoma"/>
          <w:bCs/>
          <w:sz w:val="24"/>
        </w:rPr>
        <w:t>获取磋商文件。</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一、项目基本情况：</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1.</w:t>
      </w:r>
      <w:commentRangeStart w:id="0"/>
      <w:r>
        <w:rPr>
          <w:rFonts w:hint="eastAsia" w:ascii="宋体" w:eastAsia="宋体" w:cs="Tahoma"/>
          <w:bCs/>
          <w:sz w:val="24"/>
        </w:rPr>
        <w:t>项目名称</w:t>
      </w:r>
      <w:commentRangeEnd w:id="0"/>
      <w:r>
        <w:commentReference w:id="0"/>
      </w:r>
      <w:r>
        <w:rPr>
          <w:rFonts w:hint="eastAsia" w:ascii="宋体" w:eastAsia="宋体" w:cs="Tahoma"/>
          <w:bCs/>
          <w:sz w:val="24"/>
        </w:rPr>
        <w:t xml:space="preserve">：2023年广东省（阳江）海上大型综合应急演习组织服务采购项目 </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 xml:space="preserve">2.项目编号：YL202310303 </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3.</w:t>
      </w:r>
      <w:commentRangeStart w:id="1"/>
      <w:r>
        <w:rPr>
          <w:rFonts w:hint="eastAsia" w:ascii="宋体" w:eastAsia="宋体" w:cs="Tahoma"/>
          <w:bCs/>
          <w:sz w:val="24"/>
        </w:rPr>
        <w:t>预算金额</w:t>
      </w:r>
      <w:commentRangeEnd w:id="1"/>
      <w:r>
        <w:commentReference w:id="1"/>
      </w:r>
      <w:r>
        <w:rPr>
          <w:rFonts w:hint="eastAsia" w:ascii="宋体" w:eastAsia="宋体" w:cs="Tahoma"/>
          <w:bCs/>
          <w:sz w:val="24"/>
        </w:rPr>
        <w:t>（最高限价）：¥</w:t>
      </w:r>
      <w:r>
        <w:rPr>
          <w:rFonts w:hint="eastAsia" w:ascii="宋体" w:eastAsia="宋体" w:cs="Tahoma"/>
          <w:bCs/>
          <w:sz w:val="24"/>
          <w:u w:val="single"/>
        </w:rPr>
        <w:t xml:space="preserve"> 875,350.00</w:t>
      </w:r>
      <w:r>
        <w:rPr>
          <w:rFonts w:hint="eastAsia" w:ascii="宋体" w:eastAsia="宋体" w:cs="Tahoma"/>
          <w:bCs/>
          <w:sz w:val="24"/>
        </w:rPr>
        <w:t>元（凡超过最高限价的，一律视为无效报价。）</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4.项目类型：服务类</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5.采购方式：竞争性磋商</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6.采购项目内容及需求详见本项目采购需求书。</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7.响应供应商必须对项目采购内容进行整体响应，不允许仅对项目的其中部分采购内容进行响应，否则将视为无效响应。</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二、响应供应商的资格要求</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1.在中华人民共和国境内具有独立承担民事责任的能力。</w:t>
      </w:r>
    </w:p>
    <w:p>
      <w:pPr>
        <w:pStyle w:val="7"/>
        <w:snapToGrid w:val="0"/>
        <w:spacing w:line="360" w:lineRule="auto"/>
        <w:ind w:right="25" w:rightChars="12" w:firstLine="424" w:firstLineChars="177"/>
      </w:pPr>
      <w:r>
        <w:rPr>
          <w:rFonts w:hint="eastAsia" w:ascii="宋体" w:eastAsia="宋体" w:cs="Tahoma"/>
          <w:bCs/>
          <w:sz w:val="24"/>
        </w:rPr>
        <w:t>2.响应供应商未被列入“中国执行信息公开网”（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3.已登记报名并领购本项目磋商文件的响应供应商。</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4.本项目不接受联合体参与磋商。</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三、获取磋商文件</w:t>
      </w:r>
    </w:p>
    <w:p>
      <w:pPr>
        <w:pStyle w:val="7"/>
        <w:snapToGrid w:val="0"/>
        <w:spacing w:line="348" w:lineRule="auto"/>
        <w:ind w:firstLine="480" w:firstLineChars="200"/>
        <w:rPr>
          <w:rFonts w:ascii="宋体" w:eastAsia="宋体" w:cs="Tahoma"/>
          <w:bCs/>
          <w:sz w:val="24"/>
          <w:szCs w:val="24"/>
        </w:rPr>
      </w:pPr>
      <w:r>
        <w:rPr>
          <w:rFonts w:hint="eastAsia" w:ascii="宋体" w:eastAsia="宋体" w:cs="Tahoma"/>
          <w:bCs/>
          <w:sz w:val="24"/>
          <w:szCs w:val="24"/>
        </w:rPr>
        <w:t>1.</w:t>
      </w:r>
      <w:r>
        <w:rPr>
          <w:rFonts w:hint="eastAsia" w:ascii="宋体" w:eastAsia="宋体" w:cs="Tahoma"/>
          <w:bCs/>
          <w:sz w:val="24"/>
        </w:rPr>
        <w:t>符合资格</w:t>
      </w:r>
      <w:r>
        <w:rPr>
          <w:rFonts w:hint="eastAsia" w:ascii="宋体" w:eastAsia="宋体" w:cs="Tahoma"/>
          <w:bCs/>
          <w:sz w:val="24"/>
          <w:szCs w:val="24"/>
        </w:rPr>
        <w:t>的响应供应商应当在2023年</w:t>
      </w:r>
      <w:r>
        <w:rPr>
          <w:rFonts w:hint="eastAsia" w:ascii="宋体" w:eastAsia="宋体" w:cs="Tahoma"/>
          <w:bCs/>
          <w:sz w:val="24"/>
          <w:szCs w:val="24"/>
          <w:u w:val="single"/>
        </w:rPr>
        <w:t xml:space="preserve">     </w:t>
      </w:r>
      <w:r>
        <w:rPr>
          <w:rFonts w:hint="eastAsia" w:ascii="宋体" w:eastAsia="宋体" w:cs="Tahoma"/>
          <w:bCs/>
          <w:sz w:val="24"/>
          <w:szCs w:val="24"/>
        </w:rPr>
        <w:t>月</w:t>
      </w:r>
      <w:r>
        <w:rPr>
          <w:rFonts w:hint="eastAsia" w:ascii="宋体" w:eastAsia="宋体" w:cs="Tahoma"/>
          <w:bCs/>
          <w:sz w:val="24"/>
          <w:szCs w:val="24"/>
          <w:u w:val="single"/>
        </w:rPr>
        <w:t xml:space="preserve">     </w:t>
      </w:r>
      <w:r>
        <w:rPr>
          <w:rFonts w:hint="eastAsia" w:ascii="宋体" w:eastAsia="宋体" w:cs="Tahoma"/>
          <w:bCs/>
          <w:sz w:val="24"/>
          <w:szCs w:val="24"/>
        </w:rPr>
        <w:t>日至2023年</w:t>
      </w:r>
      <w:r>
        <w:rPr>
          <w:rFonts w:hint="eastAsia" w:ascii="宋体" w:eastAsia="宋体" w:cs="Tahoma"/>
          <w:bCs/>
          <w:sz w:val="24"/>
          <w:szCs w:val="24"/>
          <w:u w:val="single"/>
        </w:rPr>
        <w:t xml:space="preserve">    </w:t>
      </w:r>
      <w:r>
        <w:rPr>
          <w:rFonts w:hint="eastAsia" w:ascii="宋体" w:eastAsia="宋体" w:cs="Tahoma"/>
          <w:bCs/>
          <w:sz w:val="24"/>
          <w:szCs w:val="24"/>
        </w:rPr>
        <w:t>月</w:t>
      </w:r>
      <w:r>
        <w:rPr>
          <w:rFonts w:hint="eastAsia" w:ascii="宋体" w:eastAsia="宋体" w:cs="Tahoma"/>
          <w:bCs/>
          <w:sz w:val="24"/>
          <w:szCs w:val="24"/>
          <w:u w:val="single"/>
        </w:rPr>
        <w:t xml:space="preserve">    </w:t>
      </w:r>
      <w:r>
        <w:rPr>
          <w:rFonts w:hint="eastAsia" w:ascii="宋体" w:eastAsia="宋体" w:cs="Tahoma"/>
          <w:bCs/>
          <w:sz w:val="24"/>
          <w:szCs w:val="24"/>
        </w:rPr>
        <w:t>日期间（每天上午 09:00至12:00，下午14:30至17:30，法定节假日及双休除外）到</w:t>
      </w:r>
      <w:r>
        <w:rPr>
          <w:rFonts w:hint="eastAsia" w:ascii="宋体" w:eastAsia="宋体" w:cs="Tahoma"/>
          <w:b/>
          <w:bCs/>
          <w:sz w:val="24"/>
          <w:szCs w:val="24"/>
        </w:rPr>
        <w:t>广州市天河区广汕二路13号天河软件园凤凰园区三楼307</w:t>
      </w:r>
      <w:r>
        <w:rPr>
          <w:rFonts w:hint="eastAsia" w:ascii="宋体" w:eastAsia="宋体" w:cs="Tahoma"/>
          <w:bCs/>
          <w:sz w:val="24"/>
          <w:szCs w:val="24"/>
        </w:rPr>
        <w:t>报名购买磋商文件，磋商文件300元/套，售后不退。</w:t>
      </w:r>
    </w:p>
    <w:p>
      <w:pPr>
        <w:pStyle w:val="7"/>
        <w:snapToGrid w:val="0"/>
        <w:spacing w:line="348" w:lineRule="auto"/>
        <w:ind w:firstLine="480" w:firstLineChars="200"/>
        <w:rPr>
          <w:rFonts w:ascii="宋体" w:eastAsia="宋体" w:cs="Tahoma"/>
          <w:bCs/>
          <w:sz w:val="24"/>
        </w:rPr>
      </w:pPr>
      <w:r>
        <w:rPr>
          <w:rFonts w:hint="eastAsia" w:ascii="宋体" w:eastAsia="宋体" w:cs="Tahoma"/>
          <w:bCs/>
          <w:sz w:val="24"/>
        </w:rPr>
        <w:t>2.</w:t>
      </w:r>
      <w:r>
        <w:rPr>
          <w:rFonts w:hint="eastAsia" w:ascii="宋体" w:eastAsia="宋体" w:cs="Tahoma"/>
          <w:bCs/>
          <w:sz w:val="24"/>
          <w:szCs w:val="24"/>
        </w:rPr>
        <w:t>报名</w:t>
      </w:r>
      <w:r>
        <w:rPr>
          <w:rFonts w:hint="eastAsia" w:ascii="宋体" w:eastAsia="宋体" w:cs="Tahoma"/>
          <w:bCs/>
          <w:sz w:val="24"/>
        </w:rPr>
        <w:t>方式：（1）报名资料：《文件发售登记表》和法定代表人证明/法定代表人授权委托书（须加盖单位公章，《文件发售登记表》请登录http://www.ylzb.top/网站进行下载。）（2）线下报名的请带齐报名资料到采购代理机构处办理报名登记，线上报名的请将报名资料彩色扫描发至采购代理机构邮箱（ylgdzb@126.com），并附上报名费转账回单。（3）如对报名有任何疑问请致电查询：020-37889367-0</w:t>
      </w:r>
    </w:p>
    <w:p>
      <w:pPr>
        <w:pStyle w:val="7"/>
        <w:snapToGrid w:val="0"/>
        <w:spacing w:line="360" w:lineRule="auto"/>
        <w:ind w:firstLine="480" w:firstLineChars="200"/>
        <w:rPr>
          <w:rFonts w:ascii="宋体" w:eastAsia="宋体" w:cs="Tahoma"/>
          <w:bCs/>
          <w:sz w:val="24"/>
        </w:rPr>
      </w:pPr>
      <w:r>
        <w:rPr>
          <w:rFonts w:hint="eastAsia" w:ascii="宋体" w:eastAsia="宋体" w:cs="Tahoma"/>
          <w:bCs/>
          <w:sz w:val="24"/>
        </w:rPr>
        <w:t>3.报名费用采用现金支付或公账汇款，若为其他方式，须提交手续费用。</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公账汇款账号信息，开户银行名称：中国农业银行股份有限公司广州智慧城支行</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单位名称：粤廉（广东）招标代理有限公司</w:t>
      </w:r>
    </w:p>
    <w:p>
      <w:pPr>
        <w:pStyle w:val="7"/>
        <w:snapToGrid w:val="0"/>
        <w:spacing w:line="360" w:lineRule="auto"/>
        <w:ind w:right="25" w:rightChars="12" w:firstLine="480" w:firstLineChars="200"/>
        <w:rPr>
          <w:rFonts w:ascii="宋体" w:eastAsia="宋体" w:cs="Tahoma"/>
          <w:bCs/>
          <w:sz w:val="24"/>
          <w:szCs w:val="24"/>
        </w:rPr>
      </w:pPr>
      <w:r>
        <w:rPr>
          <w:rFonts w:hint="eastAsia" w:ascii="宋体" w:eastAsia="宋体" w:cs="Tahoma"/>
          <w:bCs/>
          <w:sz w:val="24"/>
          <w:szCs w:val="24"/>
        </w:rPr>
        <w:t>账号：4406 0801 0400 04812（只接受以潜在响应供应商名义的汇款，汇款时备注项目名称及响应供应商名称）</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四、响应文件的提交</w:t>
      </w:r>
    </w:p>
    <w:p>
      <w:pPr>
        <w:pStyle w:val="7"/>
        <w:snapToGrid w:val="0"/>
        <w:spacing w:line="348" w:lineRule="auto"/>
        <w:ind w:right="25" w:rightChars="12" w:firstLine="484" w:firstLineChars="201"/>
        <w:rPr>
          <w:rFonts w:ascii="宋体" w:eastAsia="宋体" w:cs="Tahoma"/>
          <w:b/>
          <w:sz w:val="24"/>
          <w:szCs w:val="24"/>
        </w:rPr>
      </w:pPr>
      <w:r>
        <w:rPr>
          <w:rFonts w:hint="eastAsia" w:ascii="宋体" w:eastAsia="宋体" w:cs="Tahoma"/>
          <w:b/>
          <w:sz w:val="24"/>
          <w:szCs w:val="24"/>
        </w:rPr>
        <w:t>提交响应文件时间：</w:t>
      </w:r>
      <w:r>
        <w:rPr>
          <w:rFonts w:hint="eastAsia" w:ascii="宋体" w:eastAsia="宋体" w:cs="Tahoma"/>
          <w:sz w:val="24"/>
          <w:szCs w:val="24"/>
          <w:u w:val="single"/>
        </w:rPr>
        <w:t>2023</w:t>
      </w:r>
      <w:r>
        <w:rPr>
          <w:rFonts w:hint="eastAsia" w:ascii="宋体" w:eastAsia="宋体" w:cs="Tahoma"/>
          <w:sz w:val="24"/>
          <w:szCs w:val="24"/>
        </w:rPr>
        <w:t>年</w:t>
      </w:r>
      <w:r>
        <w:rPr>
          <w:rFonts w:hint="eastAsia" w:ascii="宋体" w:eastAsia="宋体" w:cs="Tahoma"/>
          <w:sz w:val="24"/>
          <w:szCs w:val="24"/>
          <w:u w:val="single"/>
        </w:rPr>
        <w:t xml:space="preserve">    </w:t>
      </w:r>
      <w:r>
        <w:rPr>
          <w:rFonts w:hint="eastAsia" w:ascii="宋体" w:eastAsia="宋体" w:cs="Tahoma"/>
          <w:sz w:val="24"/>
          <w:szCs w:val="24"/>
        </w:rPr>
        <w:t>月</w:t>
      </w:r>
      <w:r>
        <w:rPr>
          <w:rFonts w:hint="eastAsia" w:ascii="宋体" w:eastAsia="宋体" w:cs="Tahoma"/>
          <w:sz w:val="24"/>
          <w:szCs w:val="24"/>
          <w:u w:val="single"/>
        </w:rPr>
        <w:t xml:space="preserve">    </w:t>
      </w:r>
      <w:r>
        <w:rPr>
          <w:rFonts w:hint="eastAsia" w:ascii="宋体" w:eastAsia="宋体" w:cs="Tahoma"/>
          <w:sz w:val="24"/>
          <w:szCs w:val="24"/>
        </w:rPr>
        <w:t>日</w:t>
      </w:r>
      <w:r>
        <w:rPr>
          <w:rFonts w:hint="eastAsia" w:ascii="宋体" w:eastAsia="宋体" w:cs="Tahoma"/>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w:t>
      </w:r>
      <w:r>
        <w:rPr>
          <w:rFonts w:hint="eastAsia" w:ascii="宋体" w:eastAsia="宋体" w:cs="Tahoma"/>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分（北京时间）</w:t>
      </w:r>
    </w:p>
    <w:p>
      <w:pPr>
        <w:pStyle w:val="7"/>
        <w:snapToGrid w:val="0"/>
        <w:spacing w:line="348" w:lineRule="auto"/>
        <w:ind w:right="25" w:rightChars="12" w:firstLine="484" w:firstLineChars="201"/>
        <w:rPr>
          <w:rFonts w:ascii="宋体" w:eastAsia="宋体" w:cs="Tahoma"/>
          <w:sz w:val="24"/>
          <w:szCs w:val="24"/>
        </w:rPr>
      </w:pPr>
      <w:r>
        <w:rPr>
          <w:rFonts w:hint="eastAsia" w:ascii="宋体" w:eastAsia="宋体" w:cs="Tahoma"/>
          <w:b/>
          <w:sz w:val="24"/>
          <w:szCs w:val="24"/>
        </w:rPr>
        <w:t>响应文件截止时间及开标时间：</w:t>
      </w:r>
      <w:r>
        <w:rPr>
          <w:rFonts w:hint="eastAsia" w:ascii="宋体" w:eastAsia="宋体" w:cs="Tahoma"/>
          <w:sz w:val="24"/>
          <w:szCs w:val="24"/>
          <w:u w:val="single"/>
        </w:rPr>
        <w:t>2023</w:t>
      </w:r>
      <w:r>
        <w:rPr>
          <w:rFonts w:hint="eastAsia" w:ascii="宋体" w:eastAsia="宋体" w:cs="Tahoma"/>
          <w:sz w:val="24"/>
          <w:szCs w:val="24"/>
        </w:rPr>
        <w:t>年</w:t>
      </w:r>
      <w:r>
        <w:rPr>
          <w:rFonts w:hint="eastAsia" w:ascii="宋体" w:eastAsia="宋体" w:cs="Tahoma"/>
          <w:sz w:val="24"/>
          <w:szCs w:val="24"/>
          <w:u w:val="single"/>
        </w:rPr>
        <w:t xml:space="preserve">    </w:t>
      </w:r>
      <w:r>
        <w:rPr>
          <w:rFonts w:hint="eastAsia" w:ascii="宋体" w:eastAsia="宋体" w:cs="Tahoma"/>
          <w:sz w:val="24"/>
          <w:szCs w:val="24"/>
        </w:rPr>
        <w:t>月</w:t>
      </w:r>
      <w:r>
        <w:rPr>
          <w:rFonts w:hint="eastAsia" w:ascii="宋体" w:eastAsia="宋体" w:cs="Tahoma"/>
          <w:sz w:val="24"/>
          <w:szCs w:val="24"/>
          <w:u w:val="single"/>
        </w:rPr>
        <w:t xml:space="preserve">    </w:t>
      </w:r>
      <w:r>
        <w:rPr>
          <w:rFonts w:hint="eastAsia" w:ascii="宋体" w:eastAsia="宋体" w:cs="Tahoma"/>
          <w:sz w:val="24"/>
          <w:szCs w:val="24"/>
        </w:rPr>
        <w:t>日</w:t>
      </w:r>
      <w:r>
        <w:rPr>
          <w:rFonts w:hint="eastAsia" w:ascii="宋体" w:eastAsia="宋体" w:cs="Tahoma"/>
          <w:iCs/>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分（北京时间）</w:t>
      </w:r>
    </w:p>
    <w:p>
      <w:pPr>
        <w:pStyle w:val="7"/>
        <w:snapToGrid w:val="0"/>
        <w:spacing w:line="348" w:lineRule="auto"/>
        <w:ind w:right="25" w:rightChars="12" w:firstLine="484" w:firstLineChars="201"/>
        <w:rPr>
          <w:rFonts w:ascii="宋体" w:eastAsia="宋体" w:cs="Tahoma"/>
          <w:sz w:val="24"/>
          <w:szCs w:val="24"/>
        </w:rPr>
      </w:pPr>
      <w:r>
        <w:rPr>
          <w:rFonts w:hint="eastAsia" w:ascii="宋体" w:eastAsia="宋体" w:cs="Tahoma"/>
          <w:b/>
          <w:sz w:val="24"/>
          <w:szCs w:val="24"/>
        </w:rPr>
        <w:t>提交地点：</w:t>
      </w:r>
      <w:r>
        <w:rPr>
          <w:rFonts w:hint="eastAsia" w:ascii="宋体" w:eastAsia="宋体" w:cs="Tahoma"/>
          <w:sz w:val="24"/>
          <w:szCs w:val="24"/>
        </w:rPr>
        <w:t>广州市天河区广汕二路13号天河软件园凤凰园区三楼307</w:t>
      </w:r>
    </w:p>
    <w:p>
      <w:pPr>
        <w:pStyle w:val="7"/>
        <w:snapToGrid w:val="0"/>
        <w:spacing w:line="360" w:lineRule="auto"/>
        <w:ind w:right="25" w:rightChars="12" w:firstLine="482" w:firstLineChars="200"/>
        <w:rPr>
          <w:rFonts w:ascii="宋体" w:eastAsia="宋体" w:cs="Tahoma"/>
          <w:b/>
          <w:sz w:val="24"/>
        </w:rPr>
      </w:pPr>
      <w:r>
        <w:rPr>
          <w:rFonts w:hint="eastAsia" w:ascii="宋体" w:eastAsia="宋体" w:cs="Tahoma"/>
          <w:b/>
          <w:sz w:val="24"/>
        </w:rPr>
        <w:t>五、公告期限</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自本公告发布之日起3个工作日。</w:t>
      </w:r>
    </w:p>
    <w:p>
      <w:pPr>
        <w:pStyle w:val="7"/>
        <w:snapToGrid w:val="0"/>
        <w:spacing w:line="360" w:lineRule="auto"/>
        <w:ind w:right="25" w:rightChars="12" w:firstLine="482" w:firstLineChars="200"/>
        <w:rPr>
          <w:rFonts w:ascii="宋体" w:eastAsia="宋体" w:cs="Tahoma"/>
          <w:b/>
          <w:sz w:val="24"/>
        </w:rPr>
      </w:pPr>
      <w:r>
        <w:rPr>
          <w:rFonts w:hint="eastAsia" w:ascii="宋体" w:eastAsia="宋体" w:cs="Tahoma"/>
          <w:b/>
          <w:sz w:val="24"/>
        </w:rPr>
        <w:t>六、对本次采购项目提出询问，请按以下方式联系</w:t>
      </w:r>
    </w:p>
    <w:p>
      <w:pPr>
        <w:pStyle w:val="7"/>
        <w:snapToGrid w:val="0"/>
        <w:spacing w:line="360" w:lineRule="auto"/>
        <w:ind w:right="25" w:rightChars="12" w:firstLine="424" w:firstLineChars="177"/>
        <w:rPr>
          <w:rFonts w:ascii="宋体" w:eastAsia="宋体" w:cs="Tahoma"/>
          <w:bCs/>
          <w:sz w:val="24"/>
        </w:rPr>
      </w:pPr>
      <w:commentRangeStart w:id="2"/>
      <w:r>
        <w:rPr>
          <w:rFonts w:hint="eastAsia" w:ascii="宋体" w:eastAsia="宋体" w:cs="Tahoma"/>
          <w:bCs/>
          <w:sz w:val="24"/>
        </w:rPr>
        <w:t>1.采购人信息</w:t>
      </w:r>
      <w:commentRangeEnd w:id="2"/>
      <w:r>
        <w:commentReference w:id="2"/>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 xml:space="preserve">名称：广东省应急管理厅 </w:t>
      </w:r>
    </w:p>
    <w:p>
      <w:pPr>
        <w:pStyle w:val="7"/>
        <w:snapToGrid w:val="0"/>
        <w:spacing w:line="360" w:lineRule="auto"/>
        <w:ind w:right="25" w:rightChars="12" w:firstLine="424" w:firstLineChars="177"/>
        <w:rPr>
          <w:rFonts w:hint="eastAsia" w:ascii="宋体" w:eastAsia="宋体" w:cs="Tahoma"/>
          <w:bCs/>
          <w:sz w:val="24"/>
        </w:rPr>
      </w:pPr>
      <w:commentRangeStart w:id="3"/>
      <w:r>
        <w:rPr>
          <w:rFonts w:hint="eastAsia" w:ascii="宋体" w:eastAsia="宋体" w:cs="Tahoma"/>
          <w:bCs/>
          <w:sz w:val="24"/>
        </w:rPr>
        <w:t>地址</w:t>
      </w:r>
      <w:commentRangeEnd w:id="3"/>
      <w:r>
        <w:commentReference w:id="3"/>
      </w:r>
      <w:r>
        <w:rPr>
          <w:rFonts w:hint="eastAsia" w:ascii="宋体" w:eastAsia="宋体" w:cs="Tahoma"/>
          <w:bCs/>
          <w:sz w:val="24"/>
        </w:rPr>
        <w:t>：广东省广州市越秀区建设大马路19号</w:t>
      </w:r>
    </w:p>
    <w:p>
      <w:pPr>
        <w:pStyle w:val="7"/>
        <w:snapToGrid w:val="0"/>
        <w:spacing w:line="360" w:lineRule="auto"/>
        <w:ind w:right="25" w:rightChars="12" w:firstLine="424" w:firstLineChars="177"/>
        <w:rPr>
          <w:rFonts w:hint="eastAsia" w:ascii="宋体" w:hAnsi="宋体" w:eastAsia="宋体" w:cs="Tahoma"/>
          <w:bCs/>
          <w:kern w:val="2"/>
          <w:sz w:val="24"/>
          <w:lang w:val="en-US" w:eastAsia="zh-CN" w:bidi="ar-SA"/>
        </w:rPr>
      </w:pPr>
      <w:bookmarkStart w:id="1139" w:name="_GoBack"/>
      <w:bookmarkEnd w:id="1139"/>
      <w:r>
        <w:rPr>
          <w:rFonts w:hint="default" w:ascii="宋体" w:hAnsi="宋体" w:eastAsia="宋体" w:cs="Tahoma"/>
          <w:bCs/>
          <w:kern w:val="2"/>
          <w:sz w:val="24"/>
          <w:lang w:val="en-US" w:eastAsia="zh-CN" w:bidi="ar-SA"/>
        </w:rPr>
        <w:t>联系人：魏先生</w:t>
      </w:r>
    </w:p>
    <w:p>
      <w:pPr>
        <w:pStyle w:val="7"/>
        <w:snapToGrid w:val="0"/>
        <w:spacing w:line="360" w:lineRule="auto"/>
        <w:ind w:right="25" w:rightChars="12" w:firstLine="424" w:firstLineChars="177"/>
        <w:rPr>
          <w:rFonts w:ascii="宋体" w:cs="Tahoma"/>
          <w:bCs/>
          <w:color w:val="FF0000"/>
          <w:sz w:val="24"/>
        </w:rPr>
      </w:pPr>
      <w:r>
        <w:rPr>
          <w:rFonts w:hint="default" w:ascii="宋体" w:hAnsi="宋体" w:eastAsia="宋体" w:cs="Tahoma"/>
          <w:bCs/>
          <w:kern w:val="2"/>
          <w:sz w:val="24"/>
          <w:lang w:val="en-US" w:eastAsia="zh-CN" w:bidi="ar-SA"/>
        </w:rPr>
        <w:t>联系电话：020-83139356</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2.采购代理机构信息</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名称：粤廉（广东）招标代理有限公司</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地址：广州市天河区广汕二路13号天河软件园凤凰园区三楼307</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项目联系人：林小姐</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联系方式：</w:t>
      </w:r>
      <w:r>
        <w:rPr>
          <w:rFonts w:ascii="宋体" w:eastAsia="宋体" w:cs="Tahoma"/>
          <w:bCs/>
          <w:sz w:val="24"/>
        </w:rPr>
        <w:t>020-37889367</w:t>
      </w:r>
    </w:p>
    <w:p>
      <w:pPr>
        <w:widowControl/>
        <w:jc w:val="left"/>
        <w:rPr>
          <w:rFonts w:ascii="微软雅黑" w:hAnsi="微软雅黑" w:eastAsia="微软雅黑"/>
          <w:b/>
          <w:sz w:val="28"/>
        </w:rPr>
      </w:pPr>
      <w:bookmarkStart w:id="9" w:name="_Toc297209393"/>
      <w:r>
        <w:rPr>
          <w:rFonts w:ascii="微软雅黑" w:hAnsi="微软雅黑" w:eastAsia="微软雅黑"/>
          <w:b/>
          <w:sz w:val="28"/>
        </w:rPr>
        <w:br w:type="page"/>
      </w:r>
    </w:p>
    <w:p>
      <w:pPr>
        <w:spacing w:line="360" w:lineRule="auto"/>
        <w:jc w:val="center"/>
        <w:outlineLvl w:val="0"/>
      </w:pPr>
      <w:commentRangeStart w:id="4"/>
      <w:bookmarkStart w:id="10" w:name="_Toc149248214"/>
      <w:r>
        <w:rPr>
          <w:rFonts w:hint="eastAsia" w:ascii="微软雅黑" w:hAnsi="微软雅黑" w:eastAsia="微软雅黑"/>
          <w:b/>
          <w:sz w:val="28"/>
        </w:rPr>
        <w:t>第二章 采购需求</w:t>
      </w:r>
      <w:bookmarkEnd w:id="9"/>
      <w:r>
        <w:rPr>
          <w:rFonts w:hint="eastAsia" w:ascii="微软雅黑" w:hAnsi="微软雅黑" w:eastAsia="微软雅黑"/>
          <w:b/>
          <w:sz w:val="28"/>
        </w:rPr>
        <w:t>书</w:t>
      </w:r>
      <w:commentRangeEnd w:id="4"/>
      <w:r>
        <w:rPr>
          <w:rStyle w:val="20"/>
        </w:rPr>
        <w:commentReference w:id="4"/>
      </w:r>
      <w:bookmarkEnd w:id="10"/>
    </w:p>
    <w:p>
      <w:pPr>
        <w:spacing w:line="360" w:lineRule="auto"/>
        <w:outlineLvl w:val="1"/>
        <w:rPr>
          <w:rFonts w:ascii="宋体" w:hAnsi="宋体" w:cs="Tahoma"/>
          <w:b/>
          <w:sz w:val="24"/>
        </w:rPr>
      </w:pPr>
      <w:bookmarkStart w:id="11" w:name="_Toc93997406"/>
      <w:bookmarkStart w:id="12" w:name="_Toc100236025"/>
      <w:bookmarkStart w:id="13" w:name="_Toc515971189"/>
      <w:bookmarkStart w:id="14" w:name="_Toc10132668"/>
      <w:bookmarkStart w:id="15" w:name="_Toc11665076"/>
      <w:bookmarkStart w:id="16" w:name="_Toc112169447"/>
      <w:bookmarkStart w:id="17" w:name="_Toc9935681"/>
      <w:bookmarkStart w:id="18" w:name="_Toc504741246"/>
      <w:bookmarkStart w:id="19" w:name="_Toc499278248"/>
      <w:bookmarkStart w:id="20" w:name="_Toc149248215"/>
      <w:bookmarkStart w:id="21" w:name="_Toc22529"/>
      <w:bookmarkStart w:id="22" w:name="_Toc92459743"/>
      <w:bookmarkStart w:id="23" w:name="_Toc498079514"/>
      <w:bookmarkStart w:id="24" w:name="_Toc498978624"/>
      <w:bookmarkStart w:id="25" w:name="_Toc104213968"/>
      <w:bookmarkStart w:id="26" w:name="_Toc113260532"/>
      <w:bookmarkStart w:id="27" w:name="_Toc498265669"/>
      <w:bookmarkStart w:id="28" w:name="_Toc90148904"/>
      <w:bookmarkStart w:id="29" w:name="_Toc107906737"/>
      <w:bookmarkStart w:id="30" w:name="_Toc513652304"/>
      <w:bookmarkStart w:id="31" w:name="_Toc11665898"/>
      <w:bookmarkStart w:id="32" w:name="_Toc504062514"/>
      <w:bookmarkStart w:id="33" w:name="_Toc514163556"/>
      <w:bookmarkStart w:id="34" w:name="_Toc92978542"/>
      <w:bookmarkStart w:id="35" w:name="_Toc496096022"/>
      <w:bookmarkStart w:id="36" w:name="_Toc91288810"/>
      <w:bookmarkStart w:id="37" w:name="_Toc503169236"/>
      <w:bookmarkStart w:id="38" w:name="_Toc496123816"/>
      <w:bookmarkStart w:id="39" w:name="_Toc55981043"/>
      <w:bookmarkStart w:id="40" w:name="_Toc504122250"/>
      <w:bookmarkStart w:id="41" w:name="_Toc187465103"/>
      <w:bookmarkStart w:id="42" w:name="_Toc75028769"/>
      <w:r>
        <w:rPr>
          <w:rFonts w:hint="eastAsia" w:ascii="宋体" w:hAnsi="宋体" w:cs="Tahoma"/>
          <w:b/>
          <w:sz w:val="24"/>
        </w:rPr>
        <w:t>一、项目概况</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一）近年来，随着我省海上风电和临港经济快速发展，海上交通运输、滨海旅游、海洋渔业等涉海活动日益增多，船舶活动更加频繁、交通流更加密集，海上船舶防台风和船舶污染海洋风险日益增加，面临的安全形势更加复杂，海上搜救应急任务更加艰巨。为深刻汲取阳江“7.2福景001”起重船风灾事故教训，根据《中华人民共和国安全生产法》《中华人民共和国突发事件应对法》《中华人民共和国海上交通安全法》，为检验和增强我省海上搜救中心各成员单位协同作战能力、辖区总体救助能力，强化各搜救成员单位、海上风电企业以及有关单位的应急协调配合能力和搜救技能，提高海上险情应急处置的组织、协调、指挥水平，保障海上风电作业人员等海上生命和财产安全，拟由省应急管理厅联合广东海事局、阳江市人民政府，于2023年11月中旬在阳江市广泰隆码头及附近海域举办“2023年广东省（阳江）海上大型综合应急演习”。</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（二）项目名称：</w:t>
      </w:r>
      <w:r>
        <w:rPr>
          <w:rFonts w:hint="eastAsia" w:ascii="宋体" w:cs="Tahoma"/>
          <w:bCs/>
          <w:sz w:val="24"/>
          <w:szCs w:val="28"/>
        </w:rPr>
        <w:t xml:space="preserve">2023年广东省（阳江）海上大型综合应急演习组织服务采购项目 </w:t>
      </w:r>
    </w:p>
    <w:p>
      <w:pPr>
        <w:spacing w:line="360" w:lineRule="auto"/>
        <w:ind w:left="148" w:firstLine="420"/>
        <w:rPr>
          <w:rFonts w:ascii="宋体" w:hAnsi="宋体"/>
          <w:sz w:val="24"/>
          <w:szCs w:val="28"/>
          <w:shd w:val="clear" w:color="auto" w:fill="FFFFFF"/>
        </w:rPr>
      </w:pPr>
      <w:r>
        <w:rPr>
          <w:rFonts w:hint="eastAsia" w:ascii="宋体" w:hAnsi="宋体"/>
          <w:sz w:val="24"/>
          <w:szCs w:val="28"/>
          <w:shd w:val="clear" w:color="auto" w:fill="FFFFFF"/>
        </w:rPr>
        <w:t>（三）预算金额（最高限价）：</w:t>
      </w:r>
      <w:r>
        <w:rPr>
          <w:rFonts w:hint="eastAsia" w:ascii="宋体" w:cs="Tahoma"/>
          <w:bCs/>
          <w:sz w:val="24"/>
        </w:rPr>
        <w:t>¥</w:t>
      </w:r>
      <w:r>
        <w:rPr>
          <w:rFonts w:hint="eastAsia" w:ascii="宋体" w:cs="Tahoma"/>
          <w:bCs/>
          <w:sz w:val="24"/>
          <w:u w:val="single"/>
        </w:rPr>
        <w:t xml:space="preserve"> 875,350.00</w:t>
      </w:r>
      <w:r>
        <w:rPr>
          <w:rFonts w:hint="eastAsia" w:ascii="宋体" w:cs="Tahoma"/>
          <w:bCs/>
          <w:sz w:val="24"/>
        </w:rPr>
        <w:t>元（凡超过最高限价的，一律视为无效报价。）</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（四）</w:t>
      </w:r>
      <w:commentRangeStart w:id="5"/>
      <w:r>
        <w:rPr>
          <w:rFonts w:hint="eastAsia" w:ascii="宋体" w:hAnsi="宋体"/>
          <w:color w:val="000000"/>
          <w:sz w:val="24"/>
          <w:szCs w:val="28"/>
          <w:shd w:val="clear" w:color="auto" w:fill="FFFFFF"/>
        </w:rPr>
        <w:t>服务期</w:t>
      </w:r>
      <w:commentRangeEnd w:id="5"/>
      <w:r>
        <w:commentReference w:id="5"/>
      </w:r>
      <w:r>
        <w:rPr>
          <w:rFonts w:hint="eastAsia" w:ascii="宋体" w:hAnsi="宋体"/>
          <w:color w:val="000000"/>
          <w:sz w:val="24"/>
          <w:szCs w:val="28"/>
          <w:shd w:val="clear" w:color="auto" w:fill="FFFFFF"/>
        </w:rPr>
        <w:t>：自合同签订之日起至本项目演习结束并通过验收为止。</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（五）服务地点：</w:t>
      </w:r>
      <w:r>
        <w:rPr>
          <w:rFonts w:hint="eastAsia" w:ascii="宋体" w:cs="Tahoma"/>
          <w:bCs/>
          <w:sz w:val="24"/>
          <w:szCs w:val="28"/>
        </w:rPr>
        <w:t>阳江广泰隆码头13-14泊位对开水域。</w:t>
      </w:r>
    </w:p>
    <w:p>
      <w:pPr>
        <w:spacing w:line="360" w:lineRule="auto"/>
        <w:ind w:left="148" w:firstLine="420"/>
        <w:rPr>
          <w:rFonts w:ascii="宋体" w:hAnsi="宋体"/>
          <w:color w:val="000000"/>
          <w:sz w:val="24"/>
          <w:szCs w:val="28"/>
          <w:shd w:val="clear" w:color="auto" w:fill="FFFFFF"/>
        </w:rPr>
      </w:pPr>
      <w:bookmarkStart w:id="43" w:name="_Toc10132669"/>
      <w:bookmarkStart w:id="44" w:name="_Toc19803"/>
      <w:bookmarkStart w:id="45" w:name="_Toc92978543"/>
      <w:bookmarkStart w:id="46" w:name="_Toc92459744"/>
      <w:bookmarkStart w:id="47" w:name="_Toc91288811"/>
      <w:bookmarkStart w:id="48" w:name="_Toc11665899"/>
      <w:bookmarkStart w:id="49" w:name="_Toc90148905"/>
      <w:bookmarkStart w:id="50" w:name="_Toc104213969"/>
      <w:bookmarkStart w:id="51" w:name="_Toc100236026"/>
      <w:bookmarkStart w:id="52" w:name="_Toc93997407"/>
      <w:bookmarkStart w:id="53" w:name="_Toc55981044"/>
      <w:bookmarkStart w:id="54" w:name="_Toc9935682"/>
      <w:bookmarkStart w:id="55" w:name="_Toc11665077"/>
      <w:r>
        <w:rPr>
          <w:rFonts w:hint="eastAsia" w:ascii="宋体" w:hAnsi="宋体"/>
          <w:color w:val="000000"/>
          <w:sz w:val="24"/>
          <w:szCs w:val="28"/>
          <w:shd w:val="clear" w:color="auto" w:fill="FFFFFF"/>
        </w:rPr>
        <w:t>（六）本项目采用总价包干的报价方式，响应供应商根据采购人的服务内容，结合项目实际情况进行报价，包括但不限于响应供应商为实施本项目服务内容所需的设备、技术、人员、耗材、交通、通讯、差旅、验收等所有费用及其税金，该服务费用为固定金额，除此之外，采购人不再支付任何费用。</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（七）响应供应商须对本项目服务进行整体响应，任何只对其中一部分内容进行的响应都被视为无效报价。</w:t>
      </w:r>
    </w:p>
    <w:bookmarkEnd w:id="43"/>
    <w:bookmarkEnd w:id="44"/>
    <w:bookmarkEnd w:id="45"/>
    <w:bookmarkEnd w:id="46"/>
    <w:bookmarkEnd w:id="47"/>
    <w:bookmarkEnd w:id="48"/>
    <w:bookmarkEnd w:id="49"/>
    <w:bookmarkEnd w:id="50"/>
    <w:bookmarkEnd w:id="51"/>
    <w:bookmarkEnd w:id="52"/>
    <w:bookmarkEnd w:id="53"/>
    <w:bookmarkEnd w:id="54"/>
    <w:bookmarkEnd w:id="55"/>
    <w:p>
      <w:pPr>
        <w:spacing w:line="360" w:lineRule="auto"/>
        <w:outlineLvl w:val="1"/>
        <w:rPr>
          <w:rFonts w:ascii="宋体" w:hAnsi="宋体" w:cs="Tahoma"/>
          <w:b/>
          <w:sz w:val="24"/>
        </w:rPr>
      </w:pPr>
      <w:bookmarkStart w:id="56" w:name="_Toc113260533"/>
      <w:bookmarkStart w:id="57" w:name="_Toc112169448"/>
      <w:bookmarkStart w:id="58" w:name="_Toc107906738"/>
      <w:bookmarkStart w:id="59" w:name="_Toc149248216"/>
      <w:bookmarkStart w:id="60" w:name="_Toc297209399"/>
      <w:r>
        <w:rPr>
          <w:rFonts w:hint="eastAsia" w:ascii="宋体" w:hAnsi="宋体" w:cs="Tahoma"/>
          <w:b/>
          <w:sz w:val="24"/>
        </w:rPr>
        <w:t>二、</w:t>
      </w:r>
      <w:bookmarkEnd w:id="56"/>
      <w:bookmarkEnd w:id="57"/>
      <w:bookmarkEnd w:id="58"/>
      <w:r>
        <w:rPr>
          <w:rFonts w:hint="eastAsia" w:ascii="宋体" w:hAnsi="宋体" w:cs="Tahoma"/>
          <w:b/>
          <w:sz w:val="24"/>
        </w:rPr>
        <w:t>服务内容</w:t>
      </w:r>
      <w:bookmarkEnd w:id="59"/>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（一）演习主题</w:t>
      </w:r>
    </w:p>
    <w:p>
      <w:pPr>
        <w:spacing w:line="360" w:lineRule="auto"/>
        <w:ind w:firstLine="480" w:firstLineChars="200"/>
        <w:rPr>
          <w:rFonts w:ascii="宋体" w:hAnsi="宋体"/>
          <w:color w:val="000000"/>
          <w:sz w:val="24"/>
          <w:szCs w:val="28"/>
          <w:shd w:val="clear" w:color="auto" w:fill="FFFFFF"/>
        </w:rPr>
      </w:pPr>
      <w:r>
        <w:rPr>
          <w:rFonts w:hint="eastAsia" w:ascii="宋体" w:hAnsi="宋体"/>
          <w:color w:val="000000"/>
          <w:sz w:val="24"/>
          <w:szCs w:val="28"/>
          <w:shd w:val="clear" w:color="auto" w:fill="FFFFFF"/>
        </w:rPr>
        <w:t>应对海上突发事件应急指挥和救援处置联合演练，强化搜救能力建设，共筑海上安全防线。</w:t>
      </w:r>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（二）演习时间</w:t>
      </w:r>
    </w:p>
    <w:p>
      <w:pPr>
        <w:spacing w:line="360" w:lineRule="auto"/>
        <w:ind w:firstLine="482" w:firstLineChars="200"/>
        <w:rPr>
          <w:rFonts w:ascii="宋体" w:hAnsi="宋体"/>
          <w:b/>
          <w:bCs/>
          <w:color w:val="000000"/>
          <w:sz w:val="24"/>
          <w:szCs w:val="28"/>
          <w:shd w:val="clear" w:color="auto" w:fill="FFFFFF"/>
        </w:rPr>
      </w:pPr>
      <w:r>
        <w:rPr>
          <w:rFonts w:hint="eastAsia" w:ascii="宋体" w:hAnsi="宋体"/>
          <w:b/>
          <w:bCs/>
          <w:color w:val="000000"/>
          <w:sz w:val="24"/>
          <w:szCs w:val="28"/>
          <w:shd w:val="clear" w:color="auto" w:fill="FFFFFF"/>
        </w:rPr>
        <w:t>拟定于11月中旬某日下午14:30时-17:35时；综合考虑气象和潮汐因素等适时调整（预留30分钟进行签到）。</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（三）演习内容</w:t>
      </w:r>
    </w:p>
    <w:p>
      <w:pPr>
        <w:spacing w:line="360" w:lineRule="auto"/>
        <w:ind w:firstLine="480" w:firstLineChars="200"/>
        <w:rPr>
          <w:rFonts w:ascii="宋体" w:hAnsi="宋体" w:cs="宋体"/>
          <w:sz w:val="24"/>
          <w:szCs w:val="24"/>
        </w:rPr>
      </w:pPr>
      <w:r>
        <w:rPr>
          <w:rFonts w:hint="eastAsia" w:ascii="宋体" w:hAnsi="宋体" w:cs="宋体"/>
          <w:sz w:val="24"/>
          <w:szCs w:val="24"/>
        </w:rPr>
        <w:t>1.本次演习采用海空立体搜救模式开展，演习模拟情景：</w:t>
      </w:r>
    </w:p>
    <w:p>
      <w:pPr>
        <w:spacing w:line="360" w:lineRule="auto"/>
        <w:ind w:firstLine="480" w:firstLineChars="200"/>
        <w:rPr>
          <w:rFonts w:ascii="宋体" w:hAnsi="宋体" w:cs="宋体"/>
          <w:sz w:val="24"/>
          <w:szCs w:val="24"/>
        </w:rPr>
      </w:pPr>
      <w:r>
        <w:rPr>
          <w:rFonts w:hint="eastAsia" w:ascii="宋体" w:hAnsi="宋体" w:cs="宋体"/>
          <w:sz w:val="24"/>
          <w:szCs w:val="24"/>
        </w:rPr>
        <w:t>（1）海上风电船舶防台人员撤离。</w:t>
      </w:r>
    </w:p>
    <w:p>
      <w:pPr>
        <w:spacing w:line="360" w:lineRule="auto"/>
        <w:ind w:firstLine="480" w:firstLineChars="200"/>
        <w:rPr>
          <w:rFonts w:ascii="宋体" w:hAnsi="宋体" w:cs="宋体"/>
          <w:sz w:val="24"/>
          <w:szCs w:val="24"/>
        </w:rPr>
      </w:pPr>
      <w:r>
        <w:rPr>
          <w:rFonts w:hint="eastAsia" w:ascii="宋体" w:hAnsi="宋体" w:cs="宋体"/>
          <w:sz w:val="24"/>
          <w:szCs w:val="24"/>
        </w:rPr>
        <w:t>（2）船舶碰撞和遇险人员转移。</w:t>
      </w:r>
    </w:p>
    <w:p>
      <w:pPr>
        <w:spacing w:line="360" w:lineRule="auto"/>
        <w:ind w:firstLine="480" w:firstLineChars="200"/>
        <w:rPr>
          <w:rFonts w:ascii="宋体" w:hAnsi="宋体" w:cs="宋体"/>
          <w:sz w:val="24"/>
          <w:szCs w:val="24"/>
        </w:rPr>
      </w:pPr>
      <w:r>
        <w:rPr>
          <w:rFonts w:hint="eastAsia" w:ascii="宋体" w:hAnsi="宋体" w:cs="宋体"/>
          <w:sz w:val="24"/>
          <w:szCs w:val="24"/>
        </w:rPr>
        <w:t>（3）搜救落水人员。</w:t>
      </w:r>
    </w:p>
    <w:p>
      <w:pPr>
        <w:spacing w:line="360" w:lineRule="auto"/>
        <w:ind w:firstLine="480" w:firstLineChars="200"/>
        <w:rPr>
          <w:rFonts w:ascii="宋体" w:hAnsi="宋体" w:cs="宋体"/>
          <w:sz w:val="24"/>
          <w:szCs w:val="24"/>
        </w:rPr>
      </w:pPr>
      <w:r>
        <w:rPr>
          <w:rFonts w:hint="eastAsia" w:ascii="宋体" w:hAnsi="宋体" w:cs="宋体"/>
          <w:sz w:val="24"/>
          <w:szCs w:val="24"/>
        </w:rPr>
        <w:t>（4）防走锚船舶碰撞风机应急处置。</w:t>
      </w:r>
    </w:p>
    <w:p>
      <w:pPr>
        <w:spacing w:line="360" w:lineRule="auto"/>
        <w:ind w:firstLine="480" w:firstLineChars="200"/>
        <w:rPr>
          <w:rFonts w:ascii="宋体" w:hAnsi="宋体" w:cs="宋体"/>
          <w:sz w:val="24"/>
          <w:szCs w:val="24"/>
        </w:rPr>
      </w:pPr>
      <w:r>
        <w:rPr>
          <w:rFonts w:hint="eastAsia" w:ascii="宋体" w:hAnsi="宋体" w:cs="宋体"/>
          <w:sz w:val="24"/>
          <w:szCs w:val="24"/>
        </w:rPr>
        <w:t>（5）船舶消防救援，包含消防拖轮协助灭火。</w:t>
      </w:r>
    </w:p>
    <w:p>
      <w:pPr>
        <w:spacing w:line="360" w:lineRule="auto"/>
        <w:ind w:firstLine="480" w:firstLineChars="200"/>
        <w:rPr>
          <w:rFonts w:ascii="宋体" w:hAnsi="宋体" w:cs="宋体"/>
          <w:sz w:val="24"/>
          <w:szCs w:val="24"/>
        </w:rPr>
      </w:pPr>
      <w:r>
        <w:rPr>
          <w:rFonts w:hint="eastAsia" w:ascii="宋体" w:hAnsi="宋体" w:cs="宋体"/>
          <w:sz w:val="24"/>
          <w:szCs w:val="24"/>
        </w:rPr>
        <w:t>（6）船舶溢油应急处置，分为溢油围控、海面溢油回收、清除等。</w:t>
      </w:r>
    </w:p>
    <w:p>
      <w:pPr>
        <w:spacing w:line="360" w:lineRule="auto"/>
        <w:ind w:firstLine="480" w:firstLineChars="200"/>
        <w:rPr>
          <w:rFonts w:ascii="宋体" w:hAnsi="宋体" w:cs="宋体"/>
          <w:b/>
          <w:sz w:val="24"/>
          <w:szCs w:val="24"/>
        </w:rPr>
      </w:pPr>
      <w:commentRangeStart w:id="6"/>
      <w:r>
        <w:rPr>
          <w:rFonts w:hint="eastAsia" w:ascii="宋体" w:hAnsi="宋体" w:cs="宋体"/>
          <w:sz w:val="24"/>
          <w:szCs w:val="24"/>
        </w:rPr>
        <w:t>整个演习共包含6个科目，参演单位25个，出动演习船舶</w:t>
      </w:r>
      <w:r>
        <w:rPr>
          <w:rFonts w:hint="eastAsia" w:ascii="宋体" w:hAnsi="宋体" w:cs="宋体"/>
          <w:color w:val="FF0000"/>
          <w:sz w:val="24"/>
          <w:szCs w:val="24"/>
        </w:rPr>
        <w:t>15艘</w:t>
      </w:r>
      <w:r>
        <w:rPr>
          <w:rFonts w:hint="eastAsia" w:ascii="宋体" w:hAnsi="宋体" w:cs="宋体"/>
          <w:sz w:val="24"/>
          <w:szCs w:val="24"/>
        </w:rPr>
        <w:t>，演习人员</w:t>
      </w:r>
      <w:r>
        <w:rPr>
          <w:rFonts w:hint="eastAsia" w:ascii="宋体" w:hAnsi="宋体" w:cs="宋体"/>
          <w:color w:val="FF0000"/>
          <w:sz w:val="24"/>
          <w:szCs w:val="24"/>
        </w:rPr>
        <w:t>120名</w:t>
      </w:r>
      <w:r>
        <w:rPr>
          <w:rFonts w:hint="eastAsia" w:ascii="宋体" w:hAnsi="宋体" w:cs="宋体"/>
          <w:sz w:val="24"/>
          <w:szCs w:val="24"/>
        </w:rPr>
        <w:t>，直升飞机2架，邀请观摩单位</w:t>
      </w:r>
      <w:r>
        <w:rPr>
          <w:rFonts w:hint="eastAsia" w:ascii="宋体" w:hAnsi="宋体" w:cs="宋体"/>
          <w:color w:val="FF0000"/>
          <w:sz w:val="24"/>
          <w:szCs w:val="24"/>
        </w:rPr>
        <w:t>31个</w:t>
      </w:r>
      <w:r>
        <w:rPr>
          <w:rFonts w:hint="eastAsia" w:ascii="宋体" w:hAnsi="宋体" w:cs="宋体"/>
          <w:sz w:val="24"/>
          <w:szCs w:val="24"/>
        </w:rPr>
        <w:t>、观摩人员</w:t>
      </w:r>
      <w:r>
        <w:rPr>
          <w:rFonts w:hint="eastAsia" w:ascii="宋体" w:hAnsi="宋体" w:cs="宋体"/>
          <w:color w:val="FF0000"/>
          <w:sz w:val="24"/>
          <w:szCs w:val="24"/>
        </w:rPr>
        <w:t>70人</w:t>
      </w:r>
      <w:r>
        <w:rPr>
          <w:rFonts w:hint="eastAsia" w:ascii="宋体" w:hAnsi="宋体" w:cs="宋体"/>
          <w:sz w:val="24"/>
          <w:szCs w:val="24"/>
        </w:rPr>
        <w:t>。全部演习时间为2小时30分，最终成功处置海上险情。</w:t>
      </w:r>
      <w:commentRangeEnd w:id="6"/>
      <w:r>
        <w:rPr>
          <w:rStyle w:val="20"/>
        </w:rPr>
        <w:commentReference w:id="6"/>
      </w:r>
    </w:p>
    <w:p>
      <w:pPr>
        <w:spacing w:line="360" w:lineRule="auto"/>
        <w:ind w:firstLine="480" w:firstLineChars="200"/>
        <w:rPr>
          <w:rFonts w:ascii="宋体" w:hAnsi="宋体" w:cs="宋体"/>
          <w:sz w:val="24"/>
          <w:szCs w:val="24"/>
        </w:rPr>
      </w:pPr>
      <w:r>
        <w:rPr>
          <w:rFonts w:hint="eastAsia" w:ascii="宋体" w:hAnsi="宋体" w:cs="宋体"/>
          <w:sz w:val="24"/>
          <w:szCs w:val="24"/>
        </w:rPr>
        <w:t>2.防台应急演习，检验海上风电企业安全生产主体责任的落实情况，各成员单位台风期间的应急处置能力。</w:t>
      </w:r>
    </w:p>
    <w:p>
      <w:pPr>
        <w:spacing w:line="360" w:lineRule="auto"/>
        <w:ind w:firstLine="480" w:firstLineChars="200"/>
        <w:rPr>
          <w:rFonts w:ascii="宋体" w:hAnsi="宋体" w:cs="宋体"/>
          <w:sz w:val="24"/>
          <w:szCs w:val="24"/>
        </w:rPr>
      </w:pPr>
      <w:r>
        <w:rPr>
          <w:rFonts w:hint="eastAsia" w:ascii="宋体" w:hAnsi="宋体" w:cs="宋体"/>
          <w:sz w:val="24"/>
          <w:szCs w:val="24"/>
        </w:rPr>
        <w:t>3.船舶碰撞演习，检验海上风电企业安全生产主体责任的落实情况，各成员单位和相关企业应对海上人命救助（人员转移）、火灾、防污染、防碰撞的应急处置能力。</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（四）服务清单</w:t>
      </w:r>
    </w:p>
    <w:tbl>
      <w:tblPr>
        <w:tblStyle w:val="17"/>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709"/>
        <w:gridCol w:w="2182"/>
        <w:gridCol w:w="1581"/>
        <w:gridCol w:w="915"/>
        <w:gridCol w:w="1106"/>
        <w:gridCol w:w="1827"/>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435" w:hRule="atLeast"/>
          <w:jc w:val="center"/>
        </w:trPr>
        <w:tc>
          <w:tcPr>
            <w:tcW w:w="9170" w:type="dxa"/>
            <w:gridSpan w:val="7"/>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1、演习场地布置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主舞台及场地搭建</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581"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规格</w:t>
            </w:r>
          </w:p>
        </w:tc>
        <w:tc>
          <w:tcPr>
            <w:tcW w:w="915"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110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观摩区地台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19.52x14.64m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观众席梯台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19.52*1.22mx6排，每排递增20cm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桁架扶手</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两边各8米扶手+12米脚</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桁架包KT板扶手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4</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LED大屏</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6x4.5mx2块</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租赁P3高清LED屏幕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屏幕支架</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18.2x2.4m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65寸高清电视（观众席）</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8</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舞台音响系统</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主控调音台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A&amp;H-GL2400调音台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9</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主扩扬声器 Linear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ODI-la110P(10寸全频线阵）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10</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主扩超低音箱 Low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ODI-18H18寸低频线阵）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11</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监听音箱 monitor</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PS-115 (15寸全频监听)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12</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无线手持话筒</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AMS-2500（配套beta58手持）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50寸高清电视（指挥部）</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指挥部音响</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5*3m，双面</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（指挥部）</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5x3m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租赁桁架外拉黑底喷画，含桌椅签到用品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其他印刷品及物料</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休息区</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间</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租赁桁架外拉黑底喷画/含地毯/椅子/灯光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入门指引</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（大门+路口）</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3*3m，2个</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工作证</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高清pvc证件，含蓝色挂带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旗帜</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288x192cm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含4米可伸缩旗杆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椅背贴</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A4粉纸打印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观众席嘉宾椅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白套+蓝花</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会议桌</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1.8*0.4m，蓝色桌布</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折叠椅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蓝色</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移动洗手间</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卫生间指引</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2x1m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通道地毯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红地毯</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场地所有红地毯铺垫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天线桁架</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控台后面，4*3m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运输费</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bl>
    <w:p/>
    <w:tbl>
      <w:tblPr>
        <w:tblStyle w:val="17"/>
        <w:tblW w:w="9105" w:type="dxa"/>
        <w:jc w:val="center"/>
        <w:tblLayout w:type="autofit"/>
        <w:tblCellMar>
          <w:top w:w="0" w:type="dxa"/>
          <w:left w:w="108" w:type="dxa"/>
          <w:bottom w:w="0" w:type="dxa"/>
          <w:right w:w="108" w:type="dxa"/>
        </w:tblCellMar>
      </w:tblPr>
      <w:tblGrid>
        <w:gridCol w:w="814"/>
        <w:gridCol w:w="709"/>
        <w:gridCol w:w="1782"/>
        <w:gridCol w:w="1476"/>
        <w:gridCol w:w="1476"/>
        <w:gridCol w:w="634"/>
        <w:gridCol w:w="709"/>
        <w:gridCol w:w="793"/>
        <w:gridCol w:w="712"/>
      </w:tblGrid>
      <w:tr>
        <w:trPr>
          <w:trHeight w:val="405" w:hRule="atLeast"/>
          <w:jc w:val="center"/>
        </w:trPr>
        <w:tc>
          <w:tcPr>
            <w:tcW w:w="9105"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2、视频拍摄、直播摄像设备（八个机位）</w:t>
            </w:r>
          </w:p>
        </w:tc>
      </w:tr>
      <w:tr>
        <w:tblPrEx>
          <w:tblCellMar>
            <w:top w:w="0" w:type="dxa"/>
            <w:left w:w="108" w:type="dxa"/>
            <w:bottom w:w="0" w:type="dxa"/>
            <w:right w:w="108" w:type="dxa"/>
          </w:tblCellMar>
        </w:tblPrEx>
        <w:trPr>
          <w:trHeight w:val="56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使用次数</w:t>
            </w:r>
          </w:p>
        </w:tc>
        <w:tc>
          <w:tcPr>
            <w:tcW w:w="7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63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拍摄设备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便携高清广播级摄像机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1333"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7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Canon HJ40ex 40倍长焦或同等级别长</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Canon HJ40ex 40倍长焦或同等级别长焦镜头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硬盘录像机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高清视频切换台面板</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Advanced Panel</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           ATEM 1M/E Advanced Panel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TALLY控制器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GPIandTally Interface</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为ATEM切换台添加8个Tally继电器触点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Sony或同等级别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24寸，7寸视频显示器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技术区主控监视器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大疆精灵PRO飞行器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4K高清无人机航拍四轴飞行器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Eclipse8或同等级别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8路通话矩阵，含对应数量耳机，话筒，手持对讲机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tbl>
      <w:tblPr>
        <w:tblStyle w:val="1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709"/>
        <w:gridCol w:w="992"/>
        <w:gridCol w:w="1134"/>
        <w:gridCol w:w="2558"/>
        <w:gridCol w:w="808"/>
        <w:gridCol w:w="708"/>
        <w:gridCol w:w="709"/>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040" w:type="dxa"/>
            <w:gridSpan w:val="9"/>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3、直播相关人员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34"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55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8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74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76"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相关人员</w:t>
            </w: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导播</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专业导播师，导播大型活动或比赛超100场</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restart"/>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持证在职摄像师</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7</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航拍飞手</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持证在职航拍飞手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技术相关</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网络系统技术人员</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现场工作人员</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跟进直播流程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bl>
    <w:p/>
    <w:tbl>
      <w:tblPr>
        <w:tblStyle w:val="17"/>
        <w:tblW w:w="9041" w:type="dxa"/>
        <w:jc w:val="center"/>
        <w:tblLayout w:type="fixed"/>
        <w:tblCellMar>
          <w:top w:w="0" w:type="dxa"/>
          <w:left w:w="108" w:type="dxa"/>
          <w:bottom w:w="0" w:type="dxa"/>
          <w:right w:w="108" w:type="dxa"/>
        </w:tblCellMar>
      </w:tblPr>
      <w:tblGrid>
        <w:gridCol w:w="1054"/>
        <w:gridCol w:w="1054"/>
        <w:gridCol w:w="1184"/>
        <w:gridCol w:w="1193"/>
        <w:gridCol w:w="1372"/>
        <w:gridCol w:w="700"/>
        <w:gridCol w:w="775"/>
        <w:gridCol w:w="813"/>
        <w:gridCol w:w="896"/>
      </w:tblGrid>
      <w:tr>
        <w:tblPrEx>
          <w:tblCellMar>
            <w:top w:w="0" w:type="dxa"/>
            <w:left w:w="108" w:type="dxa"/>
            <w:bottom w:w="0" w:type="dxa"/>
            <w:right w:w="108" w:type="dxa"/>
          </w:tblCellMar>
        </w:tblPrEx>
        <w:trPr>
          <w:trHeight w:val="405" w:hRule="atLeast"/>
          <w:jc w:val="center"/>
        </w:trPr>
        <w:tc>
          <w:tcPr>
            <w:tcW w:w="9041"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4、辅助设备</w:t>
            </w:r>
          </w:p>
        </w:tc>
      </w:tr>
      <w:tr>
        <w:tblPrEx>
          <w:tblCellMar>
            <w:top w:w="0" w:type="dxa"/>
            <w:left w:w="108" w:type="dxa"/>
            <w:bottom w:w="0" w:type="dxa"/>
            <w:right w:w="108" w:type="dxa"/>
          </w:tblCellMar>
        </w:tblPrEx>
        <w:trPr>
          <w:trHeight w:val="5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备用电源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不间断电源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SANTAK C3KVA或同等级别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UPS不间断电源3000VA/2400W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保障转播信号稳定</w:t>
            </w:r>
          </w:p>
        </w:tc>
      </w:tr>
      <w:tr>
        <w:tblPrEx>
          <w:tblCellMar>
            <w:top w:w="0" w:type="dxa"/>
            <w:left w:w="108" w:type="dxa"/>
            <w:bottom w:w="0" w:type="dxa"/>
            <w:right w:w="108" w:type="dxa"/>
          </w:tblCellMar>
        </w:tblPrEx>
        <w:trPr>
          <w:trHeight w:val="27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线</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SDI视频传输线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卡农音频传输线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视频网络收发器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nippon</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供电电缆</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公牛</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3000VA/2400W220V电源稳定供给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光纤线材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远距离视频传输专用，含千兆收发器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pPr>
        <w:pStyle w:val="6"/>
        <w:ind w:left="0"/>
      </w:pPr>
    </w:p>
    <w:tbl>
      <w:tblPr>
        <w:tblStyle w:val="17"/>
        <w:tblW w:w="9150" w:type="dxa"/>
        <w:jc w:val="center"/>
        <w:tblLayout w:type="autofit"/>
        <w:tblCellMar>
          <w:top w:w="0" w:type="dxa"/>
          <w:left w:w="108" w:type="dxa"/>
          <w:bottom w:w="0" w:type="dxa"/>
          <w:right w:w="108" w:type="dxa"/>
        </w:tblCellMar>
      </w:tblPr>
      <w:tblGrid>
        <w:gridCol w:w="787"/>
        <w:gridCol w:w="709"/>
        <w:gridCol w:w="1559"/>
        <w:gridCol w:w="1701"/>
        <w:gridCol w:w="1410"/>
        <w:gridCol w:w="700"/>
        <w:gridCol w:w="774"/>
        <w:gridCol w:w="695"/>
        <w:gridCol w:w="815"/>
      </w:tblGrid>
      <w:tr>
        <w:tblPrEx>
          <w:tblCellMar>
            <w:top w:w="0" w:type="dxa"/>
            <w:left w:w="108" w:type="dxa"/>
            <w:bottom w:w="0" w:type="dxa"/>
            <w:right w:w="108" w:type="dxa"/>
          </w:tblCellMar>
        </w:tblPrEx>
        <w:trPr>
          <w:trHeight w:val="405" w:hRule="atLeast"/>
          <w:jc w:val="center"/>
        </w:trPr>
        <w:tc>
          <w:tcPr>
            <w:tcW w:w="9150"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5、无线传输系统</w:t>
            </w:r>
          </w:p>
        </w:tc>
      </w:tr>
      <w:tr>
        <w:tblPrEx>
          <w:tblCellMar>
            <w:top w:w="0" w:type="dxa"/>
            <w:left w:w="108" w:type="dxa"/>
            <w:bottom w:w="0" w:type="dxa"/>
            <w:right w:w="108" w:type="dxa"/>
          </w:tblCellMar>
        </w:tblPrEx>
        <w:trPr>
          <w:trHeight w:val="4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8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视频传输相关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无线传输设备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4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远距离无线图传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5</w:t>
            </w:r>
          </w:p>
        </w:tc>
        <w:tc>
          <w:tcPr>
            <w:tcW w:w="6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bl>
    <w:p/>
    <w:tbl>
      <w:tblPr>
        <w:tblStyle w:val="17"/>
        <w:tblW w:w="9038" w:type="dxa"/>
        <w:jc w:val="center"/>
        <w:tblLayout w:type="autofit"/>
        <w:tblCellMar>
          <w:top w:w="0" w:type="dxa"/>
          <w:left w:w="108" w:type="dxa"/>
          <w:bottom w:w="0" w:type="dxa"/>
          <w:right w:w="108" w:type="dxa"/>
        </w:tblCellMar>
      </w:tblPr>
      <w:tblGrid>
        <w:gridCol w:w="780"/>
        <w:gridCol w:w="709"/>
        <w:gridCol w:w="4863"/>
        <w:gridCol w:w="1019"/>
        <w:gridCol w:w="851"/>
        <w:gridCol w:w="816"/>
      </w:tblGrid>
      <w:tr>
        <w:tblPrEx>
          <w:tblCellMar>
            <w:top w:w="0" w:type="dxa"/>
            <w:left w:w="108" w:type="dxa"/>
            <w:bottom w:w="0" w:type="dxa"/>
            <w:right w:w="108" w:type="dxa"/>
          </w:tblCellMar>
        </w:tblPrEx>
        <w:trPr>
          <w:trHeight w:val="435" w:hRule="atLeast"/>
          <w:jc w:val="center"/>
        </w:trPr>
        <w:tc>
          <w:tcPr>
            <w:tcW w:w="9038" w:type="dxa"/>
            <w:gridSpan w:val="6"/>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 xml:space="preserve">    6、演习方案手册印刷制作</w:t>
            </w:r>
          </w:p>
        </w:tc>
      </w:tr>
      <w:tr>
        <w:tblPrEx>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内容明细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39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设计排版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1.提炼要点整理优化形成宣传册文案；</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2.设计排版：按照采购人要求提供宣传册版面设计、文字及所有宣传图片的排版工作。</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印刷制作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全书内页28P+封面封底4P</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册</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（尺寸）210*285mm，竖版</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（工序）300g珠光纸单面印不过膜，内页200g铜版纸，四色快印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7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（装订）无线胶装</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bl>
    <w:p/>
    <w:tbl>
      <w:tblPr>
        <w:tblStyle w:val="17"/>
        <w:tblW w:w="9178" w:type="dxa"/>
        <w:jc w:val="center"/>
        <w:tblLayout w:type="fixed"/>
        <w:tblCellMar>
          <w:top w:w="0" w:type="dxa"/>
          <w:left w:w="108" w:type="dxa"/>
          <w:bottom w:w="0" w:type="dxa"/>
          <w:right w:w="108" w:type="dxa"/>
        </w:tblCellMar>
      </w:tblPr>
      <w:tblGrid>
        <w:gridCol w:w="673"/>
        <w:gridCol w:w="709"/>
        <w:gridCol w:w="992"/>
        <w:gridCol w:w="1134"/>
        <w:gridCol w:w="3119"/>
        <w:gridCol w:w="709"/>
        <w:gridCol w:w="1027"/>
        <w:gridCol w:w="815"/>
      </w:tblGrid>
      <w:tr>
        <w:tblPrEx>
          <w:tblCellMar>
            <w:top w:w="0" w:type="dxa"/>
            <w:left w:w="108" w:type="dxa"/>
            <w:bottom w:w="0" w:type="dxa"/>
            <w:right w:w="108" w:type="dxa"/>
          </w:tblCellMar>
        </w:tblPrEx>
        <w:trPr>
          <w:trHeight w:val="405" w:hRule="atLeast"/>
          <w:jc w:val="center"/>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ascii="宋体" w:hAnsi="宋体" w:cs="宋体"/>
                <w:b/>
                <w:bCs/>
                <w:color w:val="FFFFFF"/>
                <w:szCs w:val="21"/>
              </w:rPr>
            </w:pPr>
            <w:r>
              <w:rPr>
                <w:rFonts w:hint="eastAsia" w:ascii="宋体" w:hAnsi="宋体" w:cs="宋体"/>
                <w:b/>
                <w:bCs/>
                <w:color w:val="FFFFFF"/>
                <w:kern w:val="0"/>
                <w:szCs w:val="21"/>
                <w:lang w:bidi="ar"/>
              </w:rPr>
              <w:t>7、后期视频制作</w:t>
            </w:r>
          </w:p>
        </w:tc>
      </w:tr>
      <w:tr>
        <w:tblPrEx>
          <w:tblCellMar>
            <w:top w:w="0" w:type="dxa"/>
            <w:left w:w="108" w:type="dxa"/>
            <w:bottom w:w="0" w:type="dxa"/>
            <w:right w:w="108" w:type="dxa"/>
          </w:tblCellMar>
        </w:tblPrEx>
        <w:trPr>
          <w:trHeight w:val="5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产品型号</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（分钟）</w:t>
            </w:r>
          </w:p>
        </w:tc>
        <w:tc>
          <w:tcPr>
            <w:tcW w:w="81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视频后期制作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后期视频制作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海事演练素材剪辑，活动一周内</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出炉3分钟活动视频，活动十天</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内剪辑7分钟视频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分钟</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Arial" w:hAnsi="Arial" w:cs="Arial"/>
                <w:color w:val="000000"/>
                <w:szCs w:val="21"/>
              </w:rPr>
            </w:pPr>
          </w:p>
        </w:tc>
      </w:tr>
    </w:tbl>
    <w:p/>
    <w:tbl>
      <w:tblPr>
        <w:tblStyle w:val="17"/>
        <w:tblW w:w="9021" w:type="dxa"/>
        <w:jc w:val="center"/>
        <w:tblLayout w:type="autofit"/>
        <w:tblCellMar>
          <w:top w:w="0" w:type="dxa"/>
          <w:left w:w="108" w:type="dxa"/>
          <w:bottom w:w="0" w:type="dxa"/>
          <w:right w:w="108" w:type="dxa"/>
        </w:tblCellMar>
      </w:tblPr>
      <w:tblGrid>
        <w:gridCol w:w="638"/>
        <w:gridCol w:w="701"/>
        <w:gridCol w:w="993"/>
        <w:gridCol w:w="1701"/>
        <w:gridCol w:w="2908"/>
        <w:gridCol w:w="745"/>
        <w:gridCol w:w="684"/>
        <w:gridCol w:w="651"/>
      </w:tblGrid>
      <w:tr>
        <w:tblPrEx>
          <w:tblCellMar>
            <w:top w:w="0" w:type="dxa"/>
            <w:left w:w="108" w:type="dxa"/>
            <w:bottom w:w="0" w:type="dxa"/>
            <w:right w:w="108" w:type="dxa"/>
          </w:tblCellMar>
        </w:tblPrEx>
        <w:trPr>
          <w:trHeight w:val="405" w:hRule="atLeast"/>
          <w:jc w:val="center"/>
        </w:trPr>
        <w:tc>
          <w:tcPr>
            <w:tcW w:w="9021"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8、演习器材、备品</w:t>
            </w:r>
          </w:p>
        </w:tc>
      </w:tr>
      <w:tr>
        <w:tblPrEx>
          <w:tblCellMar>
            <w:top w:w="0" w:type="dxa"/>
            <w:left w:w="108" w:type="dxa"/>
            <w:bottom w:w="0" w:type="dxa"/>
            <w:right w:w="108" w:type="dxa"/>
          </w:tblCellMar>
        </w:tblPrEx>
        <w:trPr>
          <w:trHeight w:val="5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6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84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演习器材、备品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演习器材、备品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烟雾信号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信号枪（弹）、红色信号、橙色信号、漂浮烟雾信号、火焰信号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起火（或爆炸）设备、器材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海面溢油应急处置</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清污船舶、设备、耗材、人工等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pPr>
        <w:pStyle w:val="6"/>
        <w:ind w:left="0"/>
      </w:pPr>
    </w:p>
    <w:tbl>
      <w:tblPr>
        <w:tblStyle w:val="17"/>
        <w:tblW w:w="8986" w:type="dxa"/>
        <w:jc w:val="center"/>
        <w:tblLayout w:type="autofit"/>
        <w:tblCellMar>
          <w:top w:w="0" w:type="dxa"/>
          <w:left w:w="108" w:type="dxa"/>
          <w:bottom w:w="0" w:type="dxa"/>
          <w:right w:w="108" w:type="dxa"/>
        </w:tblCellMar>
      </w:tblPr>
      <w:tblGrid>
        <w:gridCol w:w="783"/>
        <w:gridCol w:w="567"/>
        <w:gridCol w:w="2087"/>
        <w:gridCol w:w="1262"/>
        <w:gridCol w:w="1679"/>
        <w:gridCol w:w="851"/>
        <w:gridCol w:w="906"/>
        <w:gridCol w:w="851"/>
      </w:tblGrid>
      <w:tr>
        <w:tblPrEx>
          <w:tblCellMar>
            <w:top w:w="0" w:type="dxa"/>
            <w:left w:w="108" w:type="dxa"/>
            <w:bottom w:w="0" w:type="dxa"/>
            <w:right w:w="108" w:type="dxa"/>
          </w:tblCellMar>
        </w:tblPrEx>
        <w:trPr>
          <w:trHeight w:val="405" w:hRule="atLeast"/>
          <w:jc w:val="center"/>
        </w:trPr>
        <w:tc>
          <w:tcPr>
            <w:tcW w:w="8986"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9、演习策划及导调服务</w:t>
            </w:r>
          </w:p>
        </w:tc>
      </w:tr>
      <w:tr>
        <w:tblPrEx>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服务项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具体内容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9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演练策划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演练整体方案策划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演练脚本策划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演练导调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演练导调服务</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6个科目，按2次分项预演，1次联合预演，1次正式演练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解说</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导调系统</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tbl>
      <w:tblPr>
        <w:tblStyle w:val="17"/>
        <w:tblW w:w="8978" w:type="dxa"/>
        <w:jc w:val="center"/>
        <w:tblLayout w:type="autofit"/>
        <w:tblCellMar>
          <w:top w:w="0" w:type="dxa"/>
          <w:left w:w="108" w:type="dxa"/>
          <w:bottom w:w="0" w:type="dxa"/>
          <w:right w:w="108" w:type="dxa"/>
        </w:tblCellMar>
      </w:tblPr>
      <w:tblGrid>
        <w:gridCol w:w="615"/>
        <w:gridCol w:w="709"/>
        <w:gridCol w:w="1276"/>
        <w:gridCol w:w="1275"/>
        <w:gridCol w:w="1646"/>
        <w:gridCol w:w="700"/>
        <w:gridCol w:w="1192"/>
        <w:gridCol w:w="708"/>
        <w:gridCol w:w="857"/>
      </w:tblGrid>
      <w:tr>
        <w:tblPrEx>
          <w:tblCellMar>
            <w:top w:w="0" w:type="dxa"/>
            <w:left w:w="108" w:type="dxa"/>
            <w:bottom w:w="0" w:type="dxa"/>
            <w:right w:w="108" w:type="dxa"/>
          </w:tblCellMar>
        </w:tblPrEx>
        <w:trPr>
          <w:trHeight w:val="405" w:hRule="atLeast"/>
          <w:jc w:val="center"/>
        </w:trPr>
        <w:tc>
          <w:tcPr>
            <w:tcW w:w="8978"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10、后勤保障及其他费用</w:t>
            </w:r>
          </w:p>
        </w:tc>
      </w:tr>
      <w:tr>
        <w:tblPrEx>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天数</w:t>
            </w: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住宿费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工作人员差旅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工作人员、记者食宿、交通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望远镜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高倍望远镜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前排主要领导望远镜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顶</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bl>
    <w:p/>
    <w:p>
      <w:pPr>
        <w:spacing w:line="360" w:lineRule="auto"/>
        <w:outlineLvl w:val="1"/>
        <w:rPr>
          <w:rFonts w:ascii="宋体" w:hAnsi="宋体" w:cs="Tahoma"/>
          <w:b/>
          <w:sz w:val="24"/>
        </w:rPr>
      </w:pPr>
      <w:bookmarkStart w:id="61" w:name="_Toc23428460"/>
      <w:bookmarkStart w:id="62" w:name="_Toc26795969"/>
      <w:bookmarkStart w:id="63" w:name="_Toc26481366"/>
      <w:bookmarkStart w:id="64" w:name="_Toc22740676"/>
      <w:bookmarkStart w:id="65" w:name="_Toc25675452"/>
      <w:bookmarkStart w:id="66" w:name="_Toc22739143"/>
      <w:bookmarkStart w:id="67" w:name="_Toc26526987"/>
      <w:bookmarkStart w:id="68" w:name="_Toc113260534"/>
      <w:bookmarkStart w:id="69" w:name="_Toc23880225"/>
      <w:bookmarkStart w:id="70" w:name="_Toc22999238"/>
      <w:bookmarkStart w:id="71" w:name="_Toc26481365"/>
      <w:bookmarkStart w:id="72" w:name="_Toc112169449"/>
      <w:bookmarkStart w:id="73" w:name="_Toc25681130"/>
      <w:bookmarkStart w:id="74" w:name="_Toc25764447"/>
      <w:bookmarkStart w:id="75" w:name="_Toc25930056"/>
      <w:bookmarkStart w:id="76" w:name="_Toc26526988"/>
      <w:bookmarkStart w:id="77" w:name="_Toc107906739"/>
      <w:bookmarkStart w:id="78" w:name="_Toc24442758"/>
      <w:bookmarkStart w:id="79" w:name="_Toc149248217"/>
      <w:bookmarkStart w:id="80" w:name="_Toc8630889"/>
      <w:bookmarkStart w:id="81" w:name="_Toc21773686"/>
      <w:bookmarkStart w:id="82" w:name="_Toc22203291"/>
      <w:bookmarkStart w:id="83" w:name="_Toc20686019"/>
      <w:bookmarkStart w:id="84" w:name="_Toc8288415"/>
      <w:bookmarkStart w:id="85" w:name="_Toc22133245"/>
      <w:bookmarkStart w:id="86" w:name="_Toc20685217"/>
      <w:bookmarkStart w:id="87" w:name="_Toc22132941"/>
      <w:bookmarkStart w:id="88" w:name="_Toc8227626"/>
      <w:r>
        <w:rPr>
          <w:rFonts w:ascii="宋体" w:hAnsi="宋体" w:cs="Tahoma"/>
          <w:b/>
          <w:sz w:val="24"/>
        </w:rPr>
        <w:t>三</w:t>
      </w:r>
      <w:r>
        <w:rPr>
          <w:rFonts w:hint="eastAsia" w:ascii="宋体" w:hAnsi="宋体" w:cs="Tahoma"/>
          <w:b/>
          <w:sz w:val="24"/>
        </w:rP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宋体" w:hAnsi="宋体" w:cs="Tahoma"/>
          <w:b/>
          <w:sz w:val="24"/>
        </w:rPr>
        <w:t>参演单位</w:t>
      </w:r>
      <w:bookmarkEnd w:id="79"/>
    </w:p>
    <w:p>
      <w:pPr>
        <w:spacing w:line="360" w:lineRule="auto"/>
        <w:ind w:firstLine="480" w:firstLineChars="200"/>
        <w:rPr>
          <w:rFonts w:ascii="宋体" w:hAnsi="宋体"/>
          <w:color w:val="000000"/>
          <w:sz w:val="24"/>
        </w:rPr>
      </w:pPr>
      <w:r>
        <w:rPr>
          <w:rFonts w:hint="eastAsia" w:ascii="宋体" w:hAnsi="宋体" w:cs="Tahoma"/>
          <w:bCs/>
          <w:sz w:val="24"/>
        </w:rPr>
        <w:t>广东省应急管理厅、广东省海上搜救中心、广东海事局、阳江市人民政府办公室、阳江市海上搜救中心、阳江海事局、阳江市农业农村局、南海救助局、</w:t>
      </w:r>
      <w:r>
        <w:rPr>
          <w:rFonts w:hint="eastAsia" w:ascii="宋体" w:hAnsi="宋体"/>
          <w:bCs/>
          <w:color w:val="000000"/>
          <w:sz w:val="24"/>
        </w:rPr>
        <w:t>阳江</w:t>
      </w:r>
      <w:r>
        <w:rPr>
          <w:rFonts w:hint="eastAsia" w:ascii="宋体" w:hAnsi="宋体" w:cs="Tahoma"/>
          <w:bCs/>
          <w:sz w:val="24"/>
        </w:rPr>
        <w:t>市应急管理局、阳江海警局、阳江市消防救援支队、阳江市卫生健康局、阳江市气象局、阳江市生态环境局、阳江市公安局等。</w:t>
      </w:r>
    </w:p>
    <w:p>
      <w:pPr>
        <w:spacing w:line="360" w:lineRule="auto"/>
        <w:outlineLvl w:val="1"/>
        <w:rPr>
          <w:rFonts w:ascii="宋体" w:hAnsi="宋体" w:cs="Tahoma"/>
          <w:b/>
          <w:sz w:val="24"/>
        </w:rPr>
      </w:pPr>
      <w:bookmarkStart w:id="89" w:name="_Toc112169452"/>
      <w:bookmarkStart w:id="90" w:name="_Toc26795972"/>
      <w:bookmarkStart w:id="91" w:name="_Toc113260537"/>
      <w:bookmarkStart w:id="92" w:name="_Toc26481368"/>
      <w:bookmarkStart w:id="93" w:name="_Toc26526990"/>
      <w:bookmarkStart w:id="94" w:name="_Toc107906742"/>
      <w:bookmarkStart w:id="95" w:name="_Toc149248218"/>
      <w:bookmarkStart w:id="96" w:name="_Toc25675453"/>
      <w:bookmarkStart w:id="97" w:name="_Toc25681131"/>
      <w:bookmarkStart w:id="98" w:name="_Toc23428461"/>
      <w:bookmarkStart w:id="99" w:name="_Toc22739144"/>
      <w:bookmarkStart w:id="100" w:name="_Toc22999239"/>
      <w:bookmarkStart w:id="101" w:name="_Toc23880227"/>
      <w:bookmarkStart w:id="102" w:name="_Toc24442760"/>
      <w:bookmarkStart w:id="103" w:name="_Toc22740677"/>
      <w:r>
        <w:rPr>
          <w:rFonts w:hint="eastAsia" w:ascii="宋体" w:hAnsi="宋体" w:cs="Tahoma"/>
          <w:b/>
          <w:sz w:val="24"/>
        </w:rPr>
        <w:t>四、</w:t>
      </w:r>
      <w:bookmarkEnd w:id="89"/>
      <w:bookmarkEnd w:id="90"/>
      <w:bookmarkEnd w:id="91"/>
      <w:bookmarkEnd w:id="92"/>
      <w:bookmarkEnd w:id="93"/>
      <w:bookmarkEnd w:id="94"/>
      <w:r>
        <w:rPr>
          <w:rFonts w:hint="eastAsia" w:ascii="宋体" w:hAnsi="宋体" w:cs="Tahoma"/>
          <w:b/>
          <w:sz w:val="24"/>
        </w:rPr>
        <w:t>演习评估</w:t>
      </w:r>
      <w:bookmarkEnd w:id="95"/>
    </w:p>
    <w:p>
      <w:pPr>
        <w:spacing w:line="360" w:lineRule="auto"/>
        <w:ind w:firstLine="480" w:firstLineChars="200"/>
        <w:jc w:val="left"/>
        <w:rPr>
          <w:rFonts w:ascii="宋体" w:hAnsi="宋体"/>
          <w:color w:val="000000"/>
          <w:sz w:val="24"/>
        </w:rPr>
      </w:pPr>
      <w:r>
        <w:rPr>
          <w:rFonts w:hint="eastAsia" w:ascii="宋体" w:hAnsi="宋体"/>
          <w:color w:val="000000"/>
          <w:sz w:val="24"/>
        </w:rPr>
        <w:t>应急演习结束后，在观摩现场，专家根据国家标准和规章制定演习评估方案评估本次演习发现的应急预案、应急组织、应急人员、应急机制、应急保障等方面存在的问题和不足，并发表评估意见和建议。成交供应商应做好相关记录及总结，并报于采购人作为验收材料之一。</w:t>
      </w:r>
    </w:p>
    <w:p>
      <w:pPr>
        <w:spacing w:line="360" w:lineRule="auto"/>
        <w:outlineLvl w:val="1"/>
        <w:rPr>
          <w:rFonts w:ascii="宋体" w:hAnsi="宋体" w:cs="Tahoma"/>
          <w:b/>
          <w:sz w:val="24"/>
        </w:rPr>
      </w:pPr>
      <w:bookmarkStart w:id="104" w:name="_Toc149248219"/>
      <w:bookmarkStart w:id="105" w:name="_Toc113260538"/>
      <w:bookmarkStart w:id="106" w:name="_Toc112169453"/>
      <w:bookmarkStart w:id="107" w:name="_Toc107906743"/>
      <w:bookmarkStart w:id="108" w:name="_Toc26481369"/>
      <w:bookmarkStart w:id="109" w:name="_Toc26526991"/>
      <w:bookmarkStart w:id="110" w:name="_Toc25764449"/>
      <w:bookmarkStart w:id="111" w:name="_Toc25930058"/>
      <w:bookmarkStart w:id="112" w:name="_Toc26795973"/>
      <w:r>
        <w:rPr>
          <w:rFonts w:hint="eastAsia" w:ascii="宋体" w:hAnsi="宋体" w:cs="Tahoma"/>
          <w:b/>
          <w:sz w:val="24"/>
        </w:rPr>
        <w:t>五、演习注意事项</w:t>
      </w:r>
      <w:bookmarkEnd w:id="104"/>
    </w:p>
    <w:p>
      <w:pPr>
        <w:spacing w:line="360" w:lineRule="auto"/>
        <w:ind w:firstLine="480" w:firstLineChars="200"/>
        <w:rPr>
          <w:rFonts w:ascii="宋体" w:hAnsi="宋体" w:cs="Tahoma"/>
          <w:bCs/>
          <w:sz w:val="24"/>
        </w:rPr>
      </w:pPr>
      <w:r>
        <w:rPr>
          <w:rFonts w:hint="eastAsia" w:ascii="宋体" w:hAnsi="宋体" w:cs="Tahoma"/>
          <w:bCs/>
          <w:sz w:val="24"/>
        </w:rPr>
        <w:t>（一）所有参与演习的人员必须穿上救生衣。</w:t>
      </w:r>
    </w:p>
    <w:p>
      <w:pPr>
        <w:spacing w:line="360" w:lineRule="auto"/>
        <w:ind w:firstLine="480" w:firstLineChars="200"/>
        <w:rPr>
          <w:rFonts w:ascii="宋体" w:hAnsi="宋体" w:cs="Tahoma"/>
          <w:bCs/>
          <w:sz w:val="24"/>
        </w:rPr>
      </w:pPr>
      <w:r>
        <w:rPr>
          <w:rFonts w:hint="eastAsia" w:ascii="宋体" w:hAnsi="宋体" w:cs="Tahoma"/>
          <w:bCs/>
          <w:sz w:val="24"/>
        </w:rPr>
        <w:t>（二）直升飞机、救助船靠近落水失踪人员时保持安全距离，通过各种方式将落水失踪人员拉抵舷边，然后救上船。</w:t>
      </w:r>
    </w:p>
    <w:p>
      <w:pPr>
        <w:spacing w:line="360" w:lineRule="auto"/>
        <w:ind w:firstLine="480" w:firstLineChars="200"/>
        <w:rPr>
          <w:rFonts w:ascii="宋体" w:hAnsi="宋体" w:cs="Tahoma"/>
          <w:bCs/>
          <w:sz w:val="24"/>
        </w:rPr>
      </w:pPr>
      <w:r>
        <w:rPr>
          <w:rFonts w:hint="eastAsia" w:ascii="宋体" w:hAnsi="宋体" w:cs="Tahoma"/>
          <w:bCs/>
          <w:sz w:val="24"/>
        </w:rPr>
        <w:t>（三）室外作业人员必须穿戴工作服、安全帽、防滑鞋等个人安全防护用具。</w:t>
      </w:r>
    </w:p>
    <w:p>
      <w:pPr>
        <w:spacing w:line="360" w:lineRule="auto"/>
        <w:ind w:firstLine="480" w:firstLineChars="200"/>
        <w:rPr>
          <w:rFonts w:ascii="宋体" w:hAnsi="宋体" w:cs="Tahoma"/>
          <w:bCs/>
          <w:sz w:val="24"/>
        </w:rPr>
      </w:pPr>
      <w:r>
        <w:rPr>
          <w:rFonts w:hint="eastAsia" w:ascii="宋体" w:hAnsi="宋体" w:cs="Tahoma"/>
          <w:bCs/>
          <w:sz w:val="24"/>
        </w:rPr>
        <w:t>（四）演习前，各参演单位、船艇及有关人员要熟悉本演习方案，以高度负责的态度做好演习准备。</w:t>
      </w:r>
    </w:p>
    <w:p>
      <w:pPr>
        <w:spacing w:line="360" w:lineRule="auto"/>
        <w:ind w:firstLine="480" w:firstLineChars="200"/>
        <w:rPr>
          <w:rFonts w:ascii="宋体" w:hAnsi="宋体" w:cs="Tahoma"/>
          <w:bCs/>
          <w:sz w:val="24"/>
        </w:rPr>
      </w:pPr>
      <w:r>
        <w:rPr>
          <w:rFonts w:hint="eastAsia" w:ascii="宋体" w:hAnsi="宋体" w:cs="Tahoma"/>
          <w:bCs/>
          <w:sz w:val="24"/>
        </w:rPr>
        <w:t>（五）参演前，各参演力量要对本船、艇以及相关属具进行全面检查；保证船艇各项设备的技术性能状态良好，尤其是本次演习中需要使用的通讯设备、消防救生设备和器材等，并保持船艇外貌清洁美观。</w:t>
      </w:r>
    </w:p>
    <w:p>
      <w:pPr>
        <w:spacing w:line="360" w:lineRule="auto"/>
        <w:ind w:firstLine="480" w:firstLineChars="200"/>
        <w:rPr>
          <w:rFonts w:ascii="宋体" w:hAnsi="宋体" w:cs="Tahoma"/>
          <w:bCs/>
          <w:sz w:val="24"/>
        </w:rPr>
      </w:pPr>
      <w:r>
        <w:rPr>
          <w:rFonts w:hint="eastAsia" w:ascii="宋体" w:hAnsi="宋体" w:cs="Tahoma"/>
          <w:bCs/>
          <w:sz w:val="24"/>
        </w:rPr>
        <w:t>（六）演习过程中，各参演力量要严格接受现场指挥单位的统一指挥和协调要求；各参演船艇的船长应与相关协调人（组）积极配合，共同完成演习任务。</w:t>
      </w:r>
    </w:p>
    <w:p>
      <w:pPr>
        <w:spacing w:line="360" w:lineRule="auto"/>
        <w:ind w:firstLine="480" w:firstLineChars="200"/>
        <w:rPr>
          <w:rFonts w:ascii="宋体" w:hAnsi="宋体" w:cs="Tahoma"/>
          <w:bCs/>
          <w:sz w:val="24"/>
        </w:rPr>
      </w:pPr>
      <w:r>
        <w:rPr>
          <w:rFonts w:hint="eastAsia" w:ascii="宋体" w:hAnsi="宋体" w:cs="Tahoma"/>
          <w:bCs/>
          <w:sz w:val="24"/>
        </w:rPr>
        <w:t>（七）演习过程中，各参演力量要严格遵照演习程序和安全操作规范，行动迅速准确，相互间的配合、协调要准确无误。</w:t>
      </w:r>
    </w:p>
    <w:p>
      <w:pPr>
        <w:spacing w:line="360" w:lineRule="auto"/>
        <w:ind w:firstLine="480" w:firstLineChars="200"/>
        <w:rPr>
          <w:rFonts w:ascii="宋体" w:hAnsi="宋体" w:cs="Tahoma"/>
          <w:bCs/>
          <w:sz w:val="24"/>
        </w:rPr>
      </w:pPr>
      <w:r>
        <w:rPr>
          <w:rFonts w:hint="eastAsia" w:ascii="宋体" w:hAnsi="宋体" w:cs="Tahoma"/>
          <w:bCs/>
          <w:sz w:val="24"/>
        </w:rPr>
        <w:t>（八）现场指挥、总协调人和各参演力量之间以及相关协调人要按照通讯规定保持通讯畅通。</w:t>
      </w:r>
    </w:p>
    <w:p>
      <w:pPr>
        <w:spacing w:line="360" w:lineRule="auto"/>
        <w:ind w:firstLine="480" w:firstLineChars="200"/>
        <w:rPr>
          <w:rFonts w:ascii="宋体" w:hAnsi="宋体" w:cs="Tahoma"/>
          <w:bCs/>
          <w:sz w:val="24"/>
        </w:rPr>
      </w:pPr>
      <w:r>
        <w:rPr>
          <w:rFonts w:hint="eastAsia" w:ascii="宋体" w:hAnsi="宋体" w:cs="Tahoma"/>
          <w:bCs/>
          <w:sz w:val="24"/>
        </w:rPr>
        <w:t>（九）演习期间，严禁无关人员登船。</w:t>
      </w:r>
    </w:p>
    <w:p>
      <w:pPr>
        <w:spacing w:line="360" w:lineRule="auto"/>
        <w:ind w:firstLine="480" w:firstLineChars="200"/>
        <w:rPr>
          <w:rFonts w:ascii="宋体" w:hAnsi="宋体" w:cs="Tahoma"/>
          <w:bCs/>
          <w:sz w:val="24"/>
        </w:rPr>
      </w:pPr>
      <w:r>
        <w:rPr>
          <w:rFonts w:hint="eastAsia" w:ascii="宋体" w:hAnsi="宋体" w:cs="Tahoma"/>
          <w:bCs/>
          <w:sz w:val="24"/>
        </w:rPr>
        <w:t>（十）观摩台需要配备足够数量的望远镜、VHF、对讲机。现场指挥与各船艇的通信频道为VHF77频道，各参演船艇应保持VHF77频道的有效守听；各单位协调人应保持手机处于畅通状态；各单位协调人与各自的参演船艇之间保持通信渠道畅通。</w:t>
      </w:r>
    </w:p>
    <w:p>
      <w:pPr>
        <w:spacing w:line="360" w:lineRule="auto"/>
        <w:ind w:firstLine="480" w:firstLineChars="200"/>
        <w:rPr>
          <w:rFonts w:ascii="宋体" w:hAnsi="宋体" w:cs="Tahoma"/>
          <w:bCs/>
          <w:sz w:val="24"/>
        </w:rPr>
      </w:pPr>
      <w:r>
        <w:rPr>
          <w:rFonts w:hint="eastAsia" w:ascii="宋体" w:hAnsi="宋体" w:cs="Tahoma"/>
          <w:bCs/>
          <w:sz w:val="24"/>
        </w:rPr>
        <w:t>（十一）演习期间，如辖区发生海上突发事件，各参演船舶应听从阳江市海上搜救中心及现场指挥的组织协调（以呼叫三次“这不是演习”为指令），立即转入真实险情救助。</w:t>
      </w:r>
    </w:p>
    <w:p>
      <w:pPr>
        <w:spacing w:line="360" w:lineRule="auto"/>
        <w:outlineLvl w:val="1"/>
        <w:rPr>
          <w:rFonts w:ascii="宋体" w:hAnsi="宋体"/>
          <w:color w:val="000000"/>
          <w:sz w:val="24"/>
        </w:rPr>
      </w:pPr>
      <w:bookmarkStart w:id="113" w:name="_Toc149248220"/>
      <w:r>
        <w:rPr>
          <w:rFonts w:hint="eastAsia" w:ascii="宋体" w:hAnsi="宋体" w:cs="Tahoma"/>
          <w:b/>
          <w:sz w:val="24"/>
        </w:rPr>
        <w:t>六、人员要求</w:t>
      </w:r>
      <w:bookmarkEnd w:id="113"/>
    </w:p>
    <w:p>
      <w:pPr>
        <w:spacing w:line="360" w:lineRule="auto"/>
        <w:ind w:firstLine="480" w:firstLineChars="200"/>
        <w:jc w:val="left"/>
        <w:rPr>
          <w:rFonts w:ascii="宋体" w:hAnsi="宋体"/>
          <w:color w:val="000000"/>
          <w:sz w:val="24"/>
        </w:rPr>
      </w:pPr>
      <w:r>
        <w:rPr>
          <w:rFonts w:hint="eastAsia" w:ascii="宋体" w:hAnsi="宋体"/>
          <w:color w:val="000000"/>
          <w:sz w:val="24"/>
        </w:rPr>
        <w:t>（一）人员配置要求</w:t>
      </w:r>
    </w:p>
    <w:p>
      <w:pPr>
        <w:spacing w:line="360" w:lineRule="auto"/>
        <w:ind w:firstLine="480" w:firstLineChars="200"/>
        <w:jc w:val="left"/>
        <w:rPr>
          <w:rFonts w:ascii="宋体" w:hAnsi="宋体"/>
          <w:color w:val="000000"/>
          <w:sz w:val="24"/>
        </w:rPr>
      </w:pPr>
      <w:r>
        <w:rPr>
          <w:rFonts w:hint="eastAsia" w:ascii="宋体" w:hAnsi="宋体"/>
          <w:color w:val="000000"/>
          <w:sz w:val="24"/>
        </w:rPr>
        <w:t>成交供应商应为本项目提供专职服务人员。项目负责人应具有3年（含）或以上同类项目工作经验。成交供应商应保持项目组成员的稳定性，如需更换人员的，须提前征得采购人同意后方可实施。</w:t>
      </w:r>
    </w:p>
    <w:p>
      <w:pPr>
        <w:spacing w:line="360" w:lineRule="auto"/>
        <w:ind w:firstLine="480" w:firstLineChars="200"/>
        <w:jc w:val="left"/>
        <w:rPr>
          <w:rFonts w:ascii="宋体" w:hAnsi="宋体"/>
          <w:color w:val="000000"/>
          <w:sz w:val="24"/>
        </w:rPr>
      </w:pPr>
      <w:r>
        <w:rPr>
          <w:rFonts w:hint="eastAsia" w:ascii="宋体" w:hAnsi="宋体"/>
          <w:color w:val="000000"/>
          <w:sz w:val="24"/>
        </w:rPr>
        <w:t>（二）服务响应要求</w:t>
      </w:r>
    </w:p>
    <w:p>
      <w:pPr>
        <w:spacing w:line="360" w:lineRule="auto"/>
        <w:ind w:firstLine="480" w:firstLineChars="200"/>
        <w:jc w:val="left"/>
        <w:rPr>
          <w:rFonts w:ascii="宋体" w:hAnsi="宋体"/>
          <w:color w:val="000000"/>
          <w:sz w:val="24"/>
        </w:rPr>
      </w:pPr>
      <w:r>
        <w:rPr>
          <w:rFonts w:hint="eastAsia" w:ascii="宋体" w:hAnsi="宋体"/>
          <w:color w:val="000000"/>
          <w:sz w:val="24"/>
        </w:rPr>
        <w:t>成交供应商应保持24小时通讯联系，在</w:t>
      </w:r>
      <w:r>
        <w:rPr>
          <w:rFonts w:ascii="宋体" w:hAnsi="宋体"/>
          <w:color w:val="000000"/>
          <w:sz w:val="24"/>
        </w:rPr>
        <w:t>接到采购人通知后，</w:t>
      </w:r>
      <w:r>
        <w:rPr>
          <w:rFonts w:hint="eastAsia" w:ascii="宋体" w:hAnsi="宋体"/>
          <w:color w:val="000000"/>
          <w:sz w:val="24"/>
        </w:rPr>
        <w:t>成交</w:t>
      </w:r>
      <w:r>
        <w:rPr>
          <w:rFonts w:ascii="宋体" w:hAnsi="宋体"/>
          <w:color w:val="000000"/>
          <w:sz w:val="24"/>
        </w:rPr>
        <w:t>供应商</w:t>
      </w:r>
      <w:r>
        <w:rPr>
          <w:rFonts w:hint="eastAsia" w:ascii="宋体" w:hAnsi="宋体"/>
          <w:color w:val="000000"/>
          <w:sz w:val="24"/>
        </w:rPr>
        <w:t>应在1小时内（含）及时响应采购人的需求并到达现场为采购人提供技术解决方案，做好多方关系的组织协调工作。</w:t>
      </w:r>
    </w:p>
    <w:p>
      <w:pPr>
        <w:spacing w:line="360" w:lineRule="auto"/>
        <w:ind w:firstLine="480" w:firstLineChars="200"/>
        <w:jc w:val="left"/>
        <w:rPr>
          <w:rFonts w:ascii="宋体" w:hAnsi="宋体"/>
          <w:color w:val="000000"/>
          <w:sz w:val="24"/>
        </w:rPr>
      </w:pPr>
      <w:r>
        <w:rPr>
          <w:rFonts w:hint="eastAsia" w:ascii="宋体" w:hAnsi="宋体"/>
          <w:color w:val="000000"/>
          <w:sz w:val="24"/>
        </w:rPr>
        <w:t>（三）人员服务要求</w:t>
      </w:r>
    </w:p>
    <w:p>
      <w:pPr>
        <w:spacing w:line="360" w:lineRule="auto"/>
        <w:ind w:firstLine="480" w:firstLineChars="200"/>
        <w:jc w:val="left"/>
        <w:rPr>
          <w:rFonts w:ascii="宋体" w:hAnsi="宋体"/>
          <w:color w:val="000000"/>
          <w:sz w:val="24"/>
        </w:rPr>
      </w:pPr>
      <w:r>
        <w:rPr>
          <w:rFonts w:hint="eastAsia" w:ascii="宋体" w:hAnsi="宋体"/>
          <w:color w:val="000000"/>
          <w:sz w:val="24"/>
        </w:rPr>
        <w:t>1.成交供应商须为本项目提供视频拍摄和直播服务，内容包括但不限于拍摄演练全过程、拍摄串场视频、提供演练各会场之间的视频直播服务、提供导播设备和其他相关技术支持、提供直播相关的其他服务等，其一切成果归采购人所有。</w:t>
      </w:r>
    </w:p>
    <w:p>
      <w:pPr>
        <w:spacing w:line="360" w:lineRule="auto"/>
        <w:ind w:firstLine="480" w:firstLineChars="200"/>
        <w:jc w:val="left"/>
        <w:rPr>
          <w:rFonts w:ascii="宋体" w:hAnsi="宋体"/>
          <w:color w:val="000000"/>
          <w:sz w:val="24"/>
        </w:rPr>
      </w:pPr>
      <w:r>
        <w:rPr>
          <w:rFonts w:hint="eastAsia" w:ascii="宋体" w:hAnsi="宋体"/>
          <w:color w:val="000000"/>
          <w:sz w:val="24"/>
        </w:rPr>
        <w:t>2.成交供应商应保证本项目的技术、服务成果或其任何一部分不会产生因第三方提出侵犯其专利权、商标权或其他合法权利而引起的法律和经济纠纷（包括诉讼方式和非诉讼方式）；如因第三方提出其专利权、商标权或其他知识产权的侵权之诉，则由成交供应商负责处理，一切法律责任也由成交供应商承担。如采购人因此遭受损失的，成交供应商需赔偿采购人的全部损失，包括但不限于索赔、罚款、诉讼费、律师费、差旅费、鉴定费、评估费等。</w:t>
      </w:r>
    </w:p>
    <w:bookmarkEnd w:id="105"/>
    <w:bookmarkEnd w:id="106"/>
    <w:bookmarkEnd w:id="107"/>
    <w:p>
      <w:pPr>
        <w:spacing w:line="360" w:lineRule="auto"/>
        <w:outlineLvl w:val="1"/>
        <w:rPr>
          <w:rFonts w:ascii="宋体" w:hAnsi="宋体" w:cs="Tahoma"/>
          <w:b/>
          <w:sz w:val="24"/>
        </w:rPr>
      </w:pPr>
      <w:bookmarkStart w:id="114" w:name="_Toc149248221"/>
      <w:bookmarkStart w:id="115" w:name="_Toc113260539"/>
      <w:bookmarkStart w:id="116" w:name="_Toc107906744"/>
      <w:bookmarkStart w:id="117" w:name="_Toc112169454"/>
      <w:r>
        <w:rPr>
          <w:rFonts w:hint="eastAsia" w:ascii="宋体" w:hAnsi="宋体" w:cs="Tahoma"/>
          <w:b/>
          <w:sz w:val="24"/>
        </w:rPr>
        <w:t>七、工作要求</w:t>
      </w:r>
      <w:bookmarkEnd w:id="114"/>
    </w:p>
    <w:p>
      <w:pPr>
        <w:spacing w:line="360" w:lineRule="auto"/>
        <w:ind w:firstLine="480" w:firstLineChars="200"/>
        <w:jc w:val="left"/>
        <w:rPr>
          <w:rFonts w:ascii="宋体" w:hAnsi="宋体"/>
          <w:color w:val="000000"/>
          <w:sz w:val="24"/>
        </w:rPr>
      </w:pPr>
      <w:r>
        <w:rPr>
          <w:rFonts w:hint="eastAsia" w:ascii="宋体" w:hAnsi="宋体"/>
          <w:color w:val="000000"/>
          <w:sz w:val="24"/>
        </w:rPr>
        <w:t>（一）本项目的成交供应商为采购人提供本次演习活动的整体统筹服务工作，成交供应商应接受采购人及有关统筹单位就活动实施的组织协调，服从总体安排。</w:t>
      </w:r>
    </w:p>
    <w:p>
      <w:pPr>
        <w:spacing w:line="360" w:lineRule="auto"/>
        <w:ind w:firstLine="480" w:firstLineChars="200"/>
        <w:jc w:val="left"/>
        <w:rPr>
          <w:rFonts w:ascii="宋体" w:hAnsi="宋体"/>
          <w:color w:val="000000"/>
          <w:sz w:val="24"/>
        </w:rPr>
      </w:pPr>
      <w:r>
        <w:rPr>
          <w:rFonts w:hint="eastAsia" w:ascii="宋体" w:hAnsi="宋体"/>
          <w:color w:val="000000"/>
          <w:sz w:val="24"/>
        </w:rPr>
        <w:t>（二）</w:t>
      </w:r>
      <w:r>
        <w:rPr>
          <w:rFonts w:ascii="宋体" w:hAnsi="宋体"/>
          <w:color w:val="000000"/>
          <w:sz w:val="24"/>
        </w:rPr>
        <w:t>按照</w:t>
      </w:r>
      <w:r>
        <w:rPr>
          <w:rFonts w:hint="eastAsia" w:ascii="宋体" w:hAnsi="宋体"/>
          <w:color w:val="000000"/>
          <w:sz w:val="24"/>
        </w:rPr>
        <w:t>采购人</w:t>
      </w:r>
      <w:r>
        <w:rPr>
          <w:rFonts w:ascii="宋体" w:hAnsi="宋体"/>
          <w:color w:val="000000"/>
          <w:sz w:val="24"/>
        </w:rPr>
        <w:t>关于本次演习的有关要求</w:t>
      </w:r>
      <w:r>
        <w:rPr>
          <w:rFonts w:hint="eastAsia" w:ascii="宋体" w:hAnsi="宋体"/>
          <w:color w:val="000000"/>
          <w:sz w:val="24"/>
        </w:rPr>
        <w:t>，在</w:t>
      </w:r>
      <w:r>
        <w:rPr>
          <w:rFonts w:ascii="宋体" w:hAnsi="宋体"/>
          <w:color w:val="000000"/>
          <w:sz w:val="24"/>
        </w:rPr>
        <w:t>演习期间做好各类保障工作和服务措施。</w:t>
      </w:r>
    </w:p>
    <w:p>
      <w:pPr>
        <w:spacing w:line="360" w:lineRule="auto"/>
        <w:ind w:firstLine="480" w:firstLineChars="200"/>
        <w:jc w:val="left"/>
        <w:rPr>
          <w:rFonts w:ascii="宋体" w:hAnsi="宋体"/>
          <w:color w:val="000000"/>
          <w:sz w:val="24"/>
        </w:rPr>
      </w:pPr>
      <w:r>
        <w:rPr>
          <w:rFonts w:hint="eastAsia" w:ascii="宋体" w:hAnsi="宋体"/>
          <w:color w:val="000000"/>
          <w:sz w:val="24"/>
        </w:rPr>
        <w:t>（三）成交供应商需结合本次演习情况提供详细的策划方案，包括可行性活动方案、执行方案、经费预算等，并对所提供的相关内容、文件的真实性、有效性负责，并在活动开展前交由采购人确定后，负责具体实施。</w:t>
      </w:r>
    </w:p>
    <w:p>
      <w:pPr>
        <w:spacing w:line="360" w:lineRule="auto"/>
        <w:ind w:firstLine="480" w:firstLineChars="200"/>
        <w:jc w:val="left"/>
        <w:rPr>
          <w:rFonts w:ascii="宋体" w:hAnsi="宋体"/>
          <w:color w:val="000000"/>
          <w:sz w:val="24"/>
        </w:rPr>
      </w:pPr>
      <w:r>
        <w:rPr>
          <w:rFonts w:hint="eastAsia" w:ascii="宋体" w:hAnsi="宋体"/>
          <w:color w:val="000000"/>
          <w:sz w:val="24"/>
        </w:rPr>
        <w:t>（四）演习现场要求要有清晰的指引牌指示牌，活动路线图，成交供应商须布置演习现场，营造氛围。</w:t>
      </w:r>
    </w:p>
    <w:p>
      <w:pPr>
        <w:spacing w:line="360" w:lineRule="auto"/>
        <w:ind w:firstLine="480" w:firstLineChars="200"/>
        <w:jc w:val="left"/>
        <w:rPr>
          <w:rFonts w:ascii="宋体" w:hAnsi="宋体"/>
          <w:color w:val="000000"/>
          <w:sz w:val="24"/>
        </w:rPr>
      </w:pPr>
      <w:r>
        <w:rPr>
          <w:rFonts w:hint="eastAsia" w:ascii="宋体" w:hAnsi="宋体"/>
          <w:color w:val="000000"/>
          <w:sz w:val="24"/>
        </w:rPr>
        <w:t>（五）采购人有权对项目实施情况进行跟踪、监督并提出相关改进建议。如采购人各相关部门对演习总体方案、各行动组方案、图文、视频资料提出修改意见，成交供应商需负责进行补充修改。</w:t>
      </w:r>
    </w:p>
    <w:p>
      <w:pPr>
        <w:spacing w:line="360" w:lineRule="auto"/>
        <w:ind w:firstLine="480" w:firstLineChars="200"/>
        <w:jc w:val="left"/>
        <w:rPr>
          <w:rFonts w:ascii="宋体" w:hAnsi="宋体"/>
          <w:color w:val="000000"/>
          <w:sz w:val="24"/>
        </w:rPr>
      </w:pPr>
      <w:r>
        <w:rPr>
          <w:rFonts w:hint="eastAsia" w:ascii="宋体" w:hAnsi="宋体"/>
          <w:color w:val="000000"/>
          <w:sz w:val="24"/>
        </w:rPr>
        <w:t>（六）成交供应商必须负责完成本项目内容有关的一切事宜，包括但不限于演习策划、宣传、人员组织、布场所需物料购置租赁、活动场地布置及撤场、搭建临时场所及撤场、工作人员的提供等。</w:t>
      </w:r>
    </w:p>
    <w:p>
      <w:pPr>
        <w:spacing w:line="360" w:lineRule="auto"/>
        <w:ind w:firstLine="480" w:firstLineChars="200"/>
        <w:jc w:val="left"/>
        <w:rPr>
          <w:rFonts w:ascii="宋体" w:hAnsi="宋体"/>
          <w:color w:val="000000"/>
          <w:sz w:val="24"/>
        </w:rPr>
      </w:pPr>
      <w:r>
        <w:rPr>
          <w:rFonts w:hint="eastAsia" w:ascii="宋体" w:hAnsi="宋体"/>
          <w:color w:val="000000"/>
          <w:sz w:val="24"/>
        </w:rPr>
        <w:t>（七）成交供应商须与采购人保持密切联系，按采购人确定的进度表执行，配合采购人提供场地等相关审批材料，经采购人批准后方可开展工作。</w:t>
      </w:r>
    </w:p>
    <w:p>
      <w:pPr>
        <w:spacing w:line="360" w:lineRule="auto"/>
        <w:ind w:firstLine="480" w:firstLineChars="200"/>
        <w:jc w:val="left"/>
        <w:rPr>
          <w:rFonts w:ascii="宋体" w:hAnsi="宋体"/>
          <w:color w:val="000000"/>
          <w:sz w:val="24"/>
        </w:rPr>
      </w:pPr>
      <w:r>
        <w:rPr>
          <w:rFonts w:hint="eastAsia" w:ascii="宋体" w:hAnsi="宋体"/>
          <w:color w:val="000000"/>
          <w:sz w:val="24"/>
        </w:rPr>
        <w:t>（八）由于本项目时间紧，任务重，要求成交供应商在服务地点进行驻点服务，协助采购人进行现场布置工作，保障本次演习的顺利进行。驻点所涉及的食宿和人员费用等一切开销包含在本项目服务费费用，采购人不再另行支付。</w:t>
      </w:r>
    </w:p>
    <w:p>
      <w:pPr>
        <w:spacing w:line="360" w:lineRule="auto"/>
        <w:outlineLvl w:val="1"/>
        <w:rPr>
          <w:rFonts w:ascii="宋体" w:hAnsi="宋体" w:cs="Tahoma"/>
          <w:b/>
          <w:sz w:val="24"/>
        </w:rPr>
      </w:pPr>
      <w:bookmarkStart w:id="118" w:name="_Toc149248222"/>
      <w:r>
        <w:rPr>
          <w:rFonts w:hint="eastAsia" w:ascii="宋体" w:hAnsi="宋体" w:cs="Tahoma"/>
          <w:b/>
          <w:sz w:val="24"/>
        </w:rPr>
        <w:t>八、验收要求</w:t>
      </w:r>
      <w:bookmarkEnd w:id="118"/>
    </w:p>
    <w:p>
      <w:pPr>
        <w:spacing w:line="360" w:lineRule="auto"/>
        <w:ind w:firstLine="480" w:firstLineChars="200"/>
        <w:rPr>
          <w:rFonts w:ascii="宋体" w:hAnsi="宋体" w:cs="Tahoma"/>
          <w:bCs/>
          <w:sz w:val="24"/>
        </w:rPr>
      </w:pPr>
      <w:r>
        <w:rPr>
          <w:rFonts w:hint="eastAsia" w:ascii="宋体" w:hAnsi="宋体" w:cs="Tahoma"/>
          <w:bCs/>
          <w:sz w:val="24"/>
        </w:rPr>
        <w:t>（一）本项目</w:t>
      </w:r>
      <w:r>
        <w:rPr>
          <w:rFonts w:ascii="宋体" w:hAnsi="宋体" w:cs="Tahoma"/>
          <w:bCs/>
          <w:sz w:val="24"/>
        </w:rPr>
        <w:t>结束后</w:t>
      </w:r>
      <w:r>
        <w:rPr>
          <w:rFonts w:hint="eastAsia" w:ascii="宋体" w:hAnsi="宋体" w:cs="Tahoma"/>
          <w:bCs/>
          <w:sz w:val="24"/>
        </w:rPr>
        <w:t>，</w:t>
      </w:r>
      <w:r>
        <w:rPr>
          <w:rFonts w:ascii="宋体" w:hAnsi="宋体" w:cs="Tahoma"/>
          <w:bCs/>
          <w:sz w:val="24"/>
        </w:rPr>
        <w:t>成交供应商须向采购人提供本项目的</w:t>
      </w:r>
      <w:r>
        <w:rPr>
          <w:rFonts w:hint="eastAsia" w:ascii="宋体" w:hAnsi="宋体" w:cs="Tahoma"/>
          <w:bCs/>
          <w:sz w:val="24"/>
        </w:rPr>
        <w:t>演习后制作汇编的图片、视频、文字等资料。</w:t>
      </w:r>
    </w:p>
    <w:p>
      <w:pPr>
        <w:spacing w:line="360" w:lineRule="auto"/>
        <w:ind w:firstLine="480" w:firstLineChars="200"/>
        <w:rPr>
          <w:rFonts w:ascii="宋体" w:hAnsi="宋体" w:cs="Tahoma"/>
          <w:bCs/>
          <w:sz w:val="24"/>
        </w:rPr>
      </w:pPr>
      <w:r>
        <w:rPr>
          <w:rFonts w:hint="eastAsia" w:ascii="宋体" w:hAnsi="宋体" w:cs="Tahoma"/>
          <w:bCs/>
          <w:sz w:val="24"/>
        </w:rPr>
        <w:t>（二）采购人根据成交供应商提供的演习总结报告和照片图册、视频等资料，在成交供应商提出的验收申请后7日内组织履约验收，如验收不通过，成交供应商须配合整改直至验收通过。</w:t>
      </w:r>
    </w:p>
    <w:p>
      <w:pPr>
        <w:spacing w:line="360" w:lineRule="auto"/>
        <w:outlineLvl w:val="1"/>
        <w:rPr>
          <w:rFonts w:ascii="宋体" w:hAnsi="宋体" w:cs="Tahoma"/>
          <w:b/>
          <w:sz w:val="24"/>
        </w:rPr>
      </w:pPr>
      <w:bookmarkStart w:id="119" w:name="_Toc149248223"/>
      <w:r>
        <w:rPr>
          <w:rFonts w:hint="eastAsia" w:ascii="宋体" w:hAnsi="宋体" w:cs="Tahoma"/>
          <w:b/>
          <w:sz w:val="24"/>
        </w:rPr>
        <w:t>九、付款方式</w:t>
      </w:r>
      <w:bookmarkEnd w:id="80"/>
      <w:bookmarkEnd w:id="81"/>
      <w:bookmarkEnd w:id="82"/>
      <w:bookmarkEnd w:id="83"/>
      <w:bookmarkEnd w:id="84"/>
      <w:bookmarkEnd w:id="85"/>
      <w:bookmarkEnd w:id="86"/>
      <w:bookmarkEnd w:id="87"/>
      <w:bookmarkEnd w:id="88"/>
      <w:bookmarkEnd w:id="96"/>
      <w:bookmarkEnd w:id="97"/>
      <w:bookmarkEnd w:id="98"/>
      <w:bookmarkEnd w:id="99"/>
      <w:bookmarkEnd w:id="100"/>
      <w:bookmarkEnd w:id="101"/>
      <w:bookmarkEnd w:id="102"/>
      <w:bookmarkEnd w:id="103"/>
      <w:bookmarkEnd w:id="108"/>
      <w:bookmarkEnd w:id="109"/>
      <w:bookmarkEnd w:id="110"/>
      <w:bookmarkEnd w:id="111"/>
      <w:bookmarkEnd w:id="112"/>
      <w:bookmarkEnd w:id="115"/>
      <w:bookmarkEnd w:id="116"/>
      <w:bookmarkEnd w:id="117"/>
      <w:bookmarkEnd w:id="119"/>
    </w:p>
    <w:p>
      <w:pPr>
        <w:tabs>
          <w:tab w:val="left" w:pos="709"/>
        </w:tabs>
        <w:spacing w:line="360" w:lineRule="auto"/>
        <w:ind w:firstLine="420"/>
        <w:rPr>
          <w:rFonts w:ascii="宋体" w:hAnsi="宋体" w:cs="宋体"/>
          <w:color w:val="000000"/>
          <w:sz w:val="24"/>
        </w:rPr>
      </w:pPr>
      <w:r>
        <w:rPr>
          <w:rFonts w:hint="eastAsia" w:ascii="宋体" w:hAnsi="宋体" w:cs="宋体"/>
          <w:color w:val="000000"/>
          <w:sz w:val="24"/>
        </w:rPr>
        <w:t>（一）</w:t>
      </w:r>
      <w:r>
        <w:rPr>
          <w:rFonts w:hint="eastAsia" w:ascii="宋体" w:hAnsi="宋体"/>
          <w:color w:val="000000"/>
          <w:sz w:val="24"/>
        </w:rPr>
        <w:t>在签订合同后5个工作日内采购人向成交供应商支付合同总金额的80%，</w:t>
      </w:r>
      <w:r>
        <w:rPr>
          <w:rFonts w:hint="eastAsia" w:ascii="宋体" w:hAnsi="宋体" w:cs="宋体"/>
          <w:color w:val="000000"/>
          <w:sz w:val="24"/>
        </w:rPr>
        <w:t>项目演习完毕并经采购人验收通过后15天内采购人向成交供应商支付合同金额的20%。</w:t>
      </w:r>
    </w:p>
    <w:p>
      <w:pPr>
        <w:tabs>
          <w:tab w:val="left" w:pos="709"/>
        </w:tabs>
        <w:spacing w:line="360" w:lineRule="auto"/>
        <w:ind w:firstLine="420"/>
        <w:rPr>
          <w:rFonts w:ascii="宋体" w:hAnsi="宋体"/>
          <w:color w:val="000000"/>
          <w:sz w:val="24"/>
        </w:rPr>
      </w:pPr>
      <w:r>
        <w:rPr>
          <w:rFonts w:hint="eastAsia" w:ascii="宋体" w:hAnsi="宋体"/>
          <w:color w:val="000000"/>
          <w:sz w:val="24"/>
        </w:rPr>
        <w:t>（二）成交供应商凭以下资料办理支付手续。</w:t>
      </w:r>
    </w:p>
    <w:p>
      <w:pPr>
        <w:spacing w:line="360" w:lineRule="auto"/>
        <w:ind w:firstLine="424" w:firstLineChars="177"/>
        <w:rPr>
          <w:rFonts w:ascii="宋体" w:hAnsi="宋体"/>
          <w:color w:val="000000"/>
          <w:sz w:val="24"/>
        </w:rPr>
      </w:pPr>
      <w:r>
        <w:rPr>
          <w:rFonts w:hint="eastAsia" w:ascii="宋体" w:hAnsi="宋体"/>
          <w:color w:val="000000"/>
          <w:sz w:val="24"/>
        </w:rPr>
        <w:t>1.成交通知书；</w:t>
      </w:r>
    </w:p>
    <w:p>
      <w:pPr>
        <w:spacing w:line="360" w:lineRule="auto"/>
        <w:ind w:firstLine="424" w:firstLineChars="177"/>
        <w:rPr>
          <w:rFonts w:ascii="宋体" w:hAnsi="宋体"/>
          <w:color w:val="000000"/>
          <w:sz w:val="24"/>
        </w:rPr>
      </w:pPr>
      <w:r>
        <w:rPr>
          <w:rFonts w:hint="eastAsia" w:ascii="宋体" w:hAnsi="宋体"/>
          <w:color w:val="000000"/>
          <w:sz w:val="24"/>
        </w:rPr>
        <w:t>2.合同；</w:t>
      </w:r>
    </w:p>
    <w:p>
      <w:pPr>
        <w:spacing w:line="360" w:lineRule="auto"/>
        <w:ind w:firstLine="424" w:firstLineChars="177"/>
        <w:rPr>
          <w:rFonts w:ascii="宋体" w:hAnsi="宋体"/>
          <w:color w:val="000000"/>
          <w:sz w:val="24"/>
        </w:rPr>
      </w:pPr>
      <w:r>
        <w:rPr>
          <w:rFonts w:hint="eastAsia" w:ascii="宋体" w:hAnsi="宋体"/>
          <w:color w:val="000000"/>
          <w:sz w:val="24"/>
        </w:rPr>
        <w:t>3.成交供应商开具的正式发票。</w:t>
      </w:r>
    </w:p>
    <w:p>
      <w:pPr>
        <w:spacing w:line="360" w:lineRule="auto"/>
        <w:ind w:firstLine="424" w:firstLineChars="177"/>
        <w:rPr>
          <w:rFonts w:ascii="宋体" w:hAnsi="宋体"/>
          <w:color w:val="000000"/>
          <w:sz w:val="24"/>
        </w:rPr>
      </w:pPr>
      <w:r>
        <w:rPr>
          <w:rFonts w:hint="eastAsia" w:ascii="宋体" w:hAnsi="宋体"/>
          <w:color w:val="000000"/>
          <w:sz w:val="24"/>
        </w:rPr>
        <w:t>4.采购人要求的其他资料。</w:t>
      </w:r>
    </w:p>
    <w:p>
      <w:pPr>
        <w:tabs>
          <w:tab w:val="left" w:pos="709"/>
        </w:tabs>
        <w:spacing w:line="360" w:lineRule="auto"/>
        <w:ind w:firstLine="480" w:firstLineChars="200"/>
        <w:rPr>
          <w:rFonts w:ascii="宋体" w:hAnsi="宋体"/>
          <w:color w:val="000000"/>
          <w:sz w:val="24"/>
        </w:rPr>
      </w:pPr>
      <w:r>
        <w:rPr>
          <w:rFonts w:hint="eastAsia" w:ascii="宋体" w:hAnsi="宋体"/>
          <w:color w:val="000000"/>
          <w:sz w:val="24"/>
        </w:rPr>
        <w:t>（三）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tabs>
          <w:tab w:val="left" w:pos="709"/>
        </w:tabs>
        <w:spacing w:line="360" w:lineRule="auto"/>
        <w:outlineLvl w:val="1"/>
        <w:rPr>
          <w:rFonts w:ascii="宋体" w:hAnsi="宋体"/>
          <w:b/>
          <w:bCs/>
          <w:color w:val="000000"/>
          <w:sz w:val="24"/>
        </w:rPr>
      </w:pPr>
      <w:bookmarkStart w:id="120" w:name="_Toc149248224"/>
      <w:r>
        <w:rPr>
          <w:rFonts w:hint="eastAsia" w:ascii="宋体" w:hAnsi="宋体"/>
          <w:b/>
          <w:bCs/>
          <w:color w:val="000000"/>
          <w:sz w:val="24"/>
        </w:rPr>
        <w:t>十、保密要求</w:t>
      </w:r>
      <w:bookmarkEnd w:id="120"/>
    </w:p>
    <w:p>
      <w:pPr>
        <w:spacing w:line="360" w:lineRule="auto"/>
        <w:ind w:firstLine="424" w:firstLineChars="177"/>
        <w:rPr>
          <w:rFonts w:ascii="宋体" w:hAnsi="宋体"/>
          <w:color w:val="000000"/>
          <w:sz w:val="24"/>
        </w:rPr>
      </w:pPr>
      <w:bookmarkStart w:id="121" w:name="_Hlt507989741"/>
      <w:bookmarkEnd w:id="121"/>
      <w:r>
        <w:rPr>
          <w:rFonts w:hint="eastAsia" w:ascii="宋体" w:hAnsi="宋体"/>
          <w:color w:val="000000"/>
          <w:sz w:val="24"/>
        </w:rPr>
        <w:t>成交供应商在项目实施过程中，对采购人所提供的所有相关资料、数据，未经采购人书面同意不得向任何第三人泄露，且保密责任不因合同的终止或解除而失效。如采购人提出要求，成交供应商需无条件与采购人签定保密协议。项目完成后，成交供应商须把采购人提供的所有资料、数据完整归还采购人，并不得留存任何复制品。</w:t>
      </w:r>
    </w:p>
    <w:p>
      <w:pPr>
        <w:widowControl/>
        <w:jc w:val="left"/>
        <w:rPr>
          <w:rFonts w:ascii="微软雅黑" w:hAnsi="微软雅黑" w:eastAsia="微软雅黑"/>
          <w:b/>
          <w:sz w:val="28"/>
        </w:rPr>
      </w:pPr>
      <w:bookmarkStart w:id="122" w:name="_Toc149248225"/>
      <w:r>
        <w:rPr>
          <w:rFonts w:ascii="微软雅黑" w:hAnsi="微软雅黑" w:eastAsia="微软雅黑"/>
          <w:b/>
          <w:sz w:val="28"/>
        </w:rPr>
        <w:br w:type="page"/>
      </w:r>
    </w:p>
    <w:p>
      <w:pPr>
        <w:spacing w:line="360" w:lineRule="auto"/>
        <w:jc w:val="center"/>
        <w:outlineLvl w:val="0"/>
        <w:rPr>
          <w:rFonts w:ascii="微软雅黑" w:hAnsi="微软雅黑" w:eastAsia="微软雅黑"/>
          <w:b/>
          <w:sz w:val="28"/>
        </w:rPr>
      </w:pPr>
      <w:r>
        <w:rPr>
          <w:rFonts w:hint="eastAsia" w:ascii="微软雅黑" w:hAnsi="微软雅黑" w:eastAsia="微软雅黑"/>
          <w:b/>
          <w:sz w:val="28"/>
        </w:rPr>
        <w:t>第三章 合同（样本）</w:t>
      </w:r>
      <w:bookmarkEnd w:id="60"/>
      <w:bookmarkEnd w:id="122"/>
    </w:p>
    <w:p>
      <w:pPr>
        <w:pStyle w:val="22"/>
        <w:rPr>
          <w:rFonts w:ascii="仿宋" w:hAnsi="仿宋" w:eastAsia="仿宋"/>
          <w:b w:val="0"/>
        </w:rPr>
      </w:pPr>
      <w:bookmarkStart w:id="123" w:name="_Toc527703760"/>
      <w:r>
        <w:rPr>
          <w:rFonts w:hint="eastAsia" w:ascii="仿宋" w:hAnsi="仿宋" w:eastAsia="仿宋"/>
          <w:b w:val="0"/>
        </w:rPr>
        <w:t>注：本合同条款仅供参考，最终以甲方提供的样本并经甲乙双方协商一致的合同为准。</w:t>
      </w:r>
    </w:p>
    <w:bookmarkEnd w:id="123"/>
    <w:p>
      <w:pPr>
        <w:rPr>
          <w:rFonts w:ascii="宋体" w:hAnsi="宋体"/>
          <w:b/>
          <w:bCs/>
          <w:sz w:val="32"/>
          <w:szCs w:val="32"/>
        </w:rPr>
      </w:pPr>
    </w:p>
    <w:p>
      <w:pPr>
        <w:jc w:val="center"/>
        <w:rPr>
          <w:rFonts w:ascii="宋体" w:hAnsi="宋体"/>
          <w:b/>
          <w:bCs/>
          <w:sz w:val="28"/>
          <w:szCs w:val="32"/>
        </w:rPr>
      </w:pPr>
      <w:r>
        <w:rPr>
          <w:rFonts w:hint="eastAsia" w:ascii="宋体" w:hAnsi="宋体"/>
          <w:b/>
          <w:bCs/>
          <w:sz w:val="28"/>
          <w:szCs w:val="32"/>
        </w:rPr>
        <w:t>2023年广东省（阳江）海上大型综合应急演习组织服务采购项目 合同（样本）</w:t>
      </w:r>
    </w:p>
    <w:p>
      <w:pPr>
        <w:widowControl/>
        <w:spacing w:line="360" w:lineRule="auto"/>
        <w:rPr>
          <w:rFonts w:ascii="宋体" w:hAnsi="宋体"/>
          <w:sz w:val="24"/>
          <w:szCs w:val="24"/>
        </w:rPr>
      </w:pPr>
    </w:p>
    <w:p>
      <w:pPr>
        <w:spacing w:line="360" w:lineRule="auto"/>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 xml:space="preserve">         广东省应急管理厅     </w:t>
      </w:r>
      <w:r>
        <w:rPr>
          <w:rFonts w:hint="eastAsia" w:ascii="宋体" w:hAnsi="宋体" w:cs="宋体"/>
          <w:sz w:val="24"/>
          <w:szCs w:val="24"/>
        </w:rPr>
        <w:t>（以下简称甲方）</w:t>
      </w:r>
    </w:p>
    <w:p>
      <w:pPr>
        <w:spacing w:line="360" w:lineRule="auto"/>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ind w:firstLine="480"/>
        <w:rPr>
          <w:rFonts w:ascii="宋体" w:hAnsi="宋体" w:cs="宋体"/>
          <w:sz w:val="24"/>
          <w:szCs w:val="24"/>
        </w:rPr>
      </w:pPr>
      <w:bookmarkStart w:id="124" w:name="_Toc496045536"/>
      <w:bookmarkStart w:id="125" w:name="_Toc496123824"/>
      <w:bookmarkStart w:id="126" w:name="_Toc496096030"/>
      <w:r>
        <w:rPr>
          <w:rFonts w:hint="eastAsia" w:ascii="宋体" w:hAnsi="宋体" w:cs="宋体"/>
          <w:sz w:val="24"/>
          <w:szCs w:val="24"/>
        </w:rPr>
        <w:t>根据《中华人民共和国民法典》及</w:t>
      </w:r>
      <w:r>
        <w:rPr>
          <w:rFonts w:hint="eastAsia" w:ascii="宋体" w:hAnsi="宋体" w:cs="宋体"/>
          <w:sz w:val="24"/>
          <w:szCs w:val="24"/>
          <w:u w:val="single"/>
        </w:rPr>
        <w:t xml:space="preserve">2023年广东省（阳江）海上大型综合应急演习组织服务采购项目 </w:t>
      </w:r>
      <w:r>
        <w:rPr>
          <w:rFonts w:hint="eastAsia" w:ascii="宋体" w:hAnsi="宋体" w:cs="宋体"/>
          <w:sz w:val="24"/>
          <w:szCs w:val="24"/>
        </w:rPr>
        <w:t>磋商文件和响应文件（项目编号：</w:t>
      </w:r>
      <w:r>
        <w:rPr>
          <w:rFonts w:hint="eastAsia" w:ascii="宋体" w:hAnsi="宋体" w:cs="宋体"/>
          <w:bCs/>
          <w:sz w:val="24"/>
          <w:szCs w:val="24"/>
        </w:rPr>
        <w:t>YL202310303</w:t>
      </w:r>
      <w:r>
        <w:rPr>
          <w:rFonts w:hint="eastAsia" w:ascii="宋体" w:hAnsi="宋体" w:cs="宋体"/>
          <w:sz w:val="24"/>
          <w:szCs w:val="24"/>
        </w:rPr>
        <w:t>）的要求，经双方协商一致，签订本合同。</w:t>
      </w:r>
    </w:p>
    <w:p/>
    <w:bookmarkEnd w:id="124"/>
    <w:bookmarkEnd w:id="125"/>
    <w:bookmarkEnd w:id="126"/>
    <w:p>
      <w:pPr>
        <w:spacing w:line="360" w:lineRule="auto"/>
        <w:outlineLvl w:val="1"/>
        <w:rPr>
          <w:rFonts w:ascii="宋体" w:hAnsi="宋体" w:cs="Tahoma"/>
          <w:b/>
          <w:sz w:val="24"/>
        </w:rPr>
      </w:pPr>
      <w:bookmarkStart w:id="127" w:name="_Toc1337"/>
      <w:bookmarkStart w:id="128" w:name="_Toc10533"/>
      <w:bookmarkStart w:id="129" w:name="_Toc515971196"/>
      <w:bookmarkStart w:id="130" w:name="_Toc80869734"/>
      <w:bookmarkStart w:id="131" w:name="_Toc18516"/>
      <w:bookmarkStart w:id="132" w:name="_Toc149248226"/>
      <w:bookmarkStart w:id="133" w:name="_Toc498978635"/>
      <w:bookmarkStart w:id="134" w:name="_Toc24471627"/>
      <w:bookmarkStart w:id="135" w:name="_Toc78444605"/>
      <w:bookmarkStart w:id="136" w:name="_Toc11921998"/>
      <w:bookmarkStart w:id="137" w:name="_Toc90148911"/>
      <w:bookmarkStart w:id="138" w:name="_Toc77781862"/>
      <w:bookmarkStart w:id="139" w:name="_Toc498079525"/>
      <w:bookmarkStart w:id="140" w:name="_Toc69828221"/>
      <w:bookmarkStart w:id="141" w:name="_Toc91288817"/>
      <w:bookmarkStart w:id="142" w:name="_Toc498265680"/>
      <w:bookmarkStart w:id="143" w:name="_Toc504062525"/>
      <w:bookmarkStart w:id="144" w:name="_Toc51681501"/>
      <w:bookmarkStart w:id="145" w:name="_Toc78274961"/>
      <w:bookmarkStart w:id="146" w:name="_Toc504122261"/>
      <w:bookmarkStart w:id="147" w:name="_Toc515957279"/>
      <w:bookmarkStart w:id="148" w:name="_Toc514163563"/>
      <w:bookmarkStart w:id="149" w:name="_Toc82445252"/>
      <w:bookmarkStart w:id="150" w:name="_Toc515956927"/>
      <w:bookmarkStart w:id="151" w:name="_Toc66020762"/>
      <w:bookmarkStart w:id="152" w:name="_Toc82692184"/>
      <w:bookmarkStart w:id="153" w:name="_Toc504741257"/>
      <w:bookmarkStart w:id="154" w:name="_Toc499278259"/>
      <w:bookmarkStart w:id="155" w:name="_Toc51249789"/>
      <w:bookmarkStart w:id="156" w:name="_Toc71878594"/>
      <w:bookmarkStart w:id="157" w:name="_Toc503169247"/>
      <w:bookmarkStart w:id="158" w:name="_Toc75028773"/>
      <w:bookmarkStart w:id="159" w:name="_Toc513652311"/>
      <w:bookmarkStart w:id="160" w:name="_Toc82692185"/>
      <w:bookmarkStart w:id="161" w:name="_Toc513652312"/>
      <w:bookmarkStart w:id="162" w:name="_Toc75028774"/>
      <w:bookmarkStart w:id="163" w:name="_Toc504122262"/>
      <w:bookmarkStart w:id="164" w:name="_Toc78274962"/>
      <w:bookmarkStart w:id="165" w:name="_Toc91288818"/>
      <w:bookmarkStart w:id="166" w:name="_Toc51249790"/>
      <w:bookmarkStart w:id="167" w:name="_Toc514163564"/>
      <w:bookmarkStart w:id="168" w:name="_Toc515957280"/>
      <w:bookmarkStart w:id="169" w:name="_Toc515971197"/>
      <w:bookmarkStart w:id="170" w:name="_Toc503169248"/>
      <w:bookmarkStart w:id="171" w:name="_Toc11921999"/>
      <w:bookmarkStart w:id="172" w:name="_Toc498265681"/>
      <w:bookmarkStart w:id="173" w:name="_Toc24471628"/>
      <w:bookmarkStart w:id="174" w:name="_Toc30672"/>
      <w:bookmarkStart w:id="175" w:name="_Toc498978636"/>
      <w:bookmarkStart w:id="176" w:name="_Toc13336"/>
      <w:bookmarkStart w:id="177" w:name="_Toc77781863"/>
      <w:bookmarkStart w:id="178" w:name="_Toc24439"/>
      <w:bookmarkStart w:id="179" w:name="_Toc504741258"/>
      <w:bookmarkStart w:id="180" w:name="_Toc82445253"/>
      <w:bookmarkStart w:id="181" w:name="_Toc51681502"/>
      <w:bookmarkStart w:id="182" w:name="_Toc71878595"/>
      <w:bookmarkStart w:id="183" w:name="_Toc498079526"/>
      <w:bookmarkStart w:id="184" w:name="_Toc78444606"/>
      <w:bookmarkStart w:id="185" w:name="_Toc80869735"/>
      <w:bookmarkStart w:id="186" w:name="_Toc504062526"/>
      <w:bookmarkStart w:id="187" w:name="_Toc66020763"/>
      <w:bookmarkStart w:id="188" w:name="_Toc69828222"/>
      <w:bookmarkStart w:id="189" w:name="_Toc90148912"/>
      <w:bookmarkStart w:id="190" w:name="_Toc499278260"/>
      <w:bookmarkStart w:id="191" w:name="_Toc515956928"/>
      <w:r>
        <w:rPr>
          <w:rFonts w:hint="eastAsia" w:ascii="宋体" w:hAnsi="宋体" w:cs="Tahoma"/>
          <w:b/>
          <w:sz w:val="24"/>
        </w:rPr>
        <w:t>第一条  合同的组成</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ascii="宋体" w:hAnsi="宋体" w:cs="宋体"/>
          <w:sz w:val="24"/>
          <w:szCs w:val="24"/>
        </w:rPr>
      </w:pPr>
      <w:r>
        <w:rPr>
          <w:rFonts w:hint="eastAsia" w:ascii="宋体" w:hAnsi="宋体" w:cs="宋体"/>
          <w:sz w:val="24"/>
          <w:szCs w:val="24"/>
        </w:rPr>
        <w:t>详细价格、服务说明及其它有关合同的特定信息由合同附件说明。所有附件及本项目的磋商文件、响应文件、会议纪要、协议等均为本合同不可分割之一部分。</w:t>
      </w:r>
    </w:p>
    <w:p>
      <w:pPr>
        <w:spacing w:line="360" w:lineRule="auto"/>
        <w:outlineLvl w:val="1"/>
        <w:rPr>
          <w:rFonts w:ascii="宋体" w:hAnsi="宋体" w:cs="Tahoma"/>
          <w:b/>
          <w:sz w:val="24"/>
        </w:rPr>
      </w:pPr>
      <w:bookmarkStart w:id="192" w:name="_Toc149248227"/>
      <w:r>
        <w:rPr>
          <w:rFonts w:hint="eastAsia" w:ascii="宋体" w:hAnsi="宋体" w:cs="Tahoma"/>
          <w:b/>
          <w:sz w:val="24"/>
        </w:rPr>
        <w:t>第二条  合同金额</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line="360" w:lineRule="auto"/>
        <w:ind w:firstLine="424" w:firstLineChars="177"/>
        <w:rPr>
          <w:rFonts w:ascii="宋体" w:hAnsi="宋体" w:cs="宋体"/>
          <w:sz w:val="24"/>
          <w:szCs w:val="24"/>
        </w:rPr>
      </w:pPr>
      <w:r>
        <w:rPr>
          <w:rFonts w:hint="eastAsia" w:ascii="宋体" w:hAnsi="宋体" w:cs="宋体"/>
          <w:sz w:val="24"/>
          <w:szCs w:val="24"/>
        </w:rPr>
        <w:t>合同金额为（大写）：人民币_________________元（¥_______________元）。</w:t>
      </w:r>
      <w:r>
        <w:rPr>
          <w:rFonts w:hint="eastAsia" w:ascii="宋体" w:hAnsi="宋体" w:cs="宋体"/>
          <w:sz w:val="24"/>
          <w:szCs w:val="24"/>
          <w:lang w:bidi="ar"/>
        </w:rPr>
        <w:t>该服务费用是含税价，包括但不限于乙方为实施本项目服务内容所需的设备、技术、人员、耗材、交通、通讯、差旅、验收等所有费用及其税金，该服务费用为固定金额，除此之外，甲方不再支付任何费用。</w:t>
      </w:r>
    </w:p>
    <w:p>
      <w:pPr>
        <w:spacing w:line="360" w:lineRule="auto"/>
        <w:outlineLvl w:val="1"/>
        <w:rPr>
          <w:rFonts w:ascii="宋体" w:hAnsi="宋体" w:cs="Tahoma"/>
          <w:b/>
          <w:sz w:val="24"/>
        </w:rPr>
      </w:pPr>
      <w:bookmarkStart w:id="193" w:name="_Toc25919"/>
      <w:bookmarkStart w:id="194" w:name="_Toc21111"/>
      <w:bookmarkStart w:id="195" w:name="_Toc90148913"/>
      <w:bookmarkStart w:id="196" w:name="_Toc91288819"/>
      <w:bookmarkStart w:id="197" w:name="_Toc149248228"/>
      <w:bookmarkStart w:id="198" w:name="_Toc82445254"/>
      <w:bookmarkStart w:id="199" w:name="_Toc82692186"/>
      <w:r>
        <w:rPr>
          <w:rFonts w:hint="eastAsia" w:ascii="宋体" w:hAnsi="宋体" w:cs="Tahoma"/>
          <w:b/>
          <w:sz w:val="24"/>
        </w:rPr>
        <w:t xml:space="preserve">第三条  </w:t>
      </w:r>
      <w:bookmarkEnd w:id="193"/>
      <w:bookmarkEnd w:id="194"/>
      <w:r>
        <w:rPr>
          <w:rFonts w:hint="eastAsia" w:ascii="宋体" w:hAnsi="宋体" w:cs="Tahoma"/>
          <w:b/>
          <w:sz w:val="24"/>
        </w:rPr>
        <w:t>服务期和</w:t>
      </w:r>
      <w:bookmarkEnd w:id="195"/>
      <w:bookmarkEnd w:id="196"/>
      <w:r>
        <w:rPr>
          <w:rFonts w:hint="eastAsia" w:ascii="宋体" w:hAnsi="宋体" w:cs="Tahoma"/>
          <w:b/>
          <w:sz w:val="24"/>
        </w:rPr>
        <w:t>服务地点</w:t>
      </w:r>
      <w:bookmarkEnd w:id="197"/>
    </w:p>
    <w:p>
      <w:pPr>
        <w:spacing w:line="360" w:lineRule="auto"/>
        <w:ind w:firstLine="426"/>
        <w:rPr>
          <w:rFonts w:ascii="宋体" w:hAnsi="宋体" w:cs="宋体"/>
          <w:color w:val="000000"/>
          <w:sz w:val="24"/>
          <w:szCs w:val="24"/>
          <w:shd w:val="clear" w:color="auto" w:fill="FFFFFF"/>
        </w:rPr>
      </w:pPr>
      <w:r>
        <w:rPr>
          <w:rFonts w:hint="eastAsia" w:ascii="宋体" w:hAnsi="宋体" w:cs="宋体"/>
          <w:sz w:val="24"/>
          <w:szCs w:val="24"/>
        </w:rPr>
        <w:t>（一）</w:t>
      </w:r>
      <w:r>
        <w:rPr>
          <w:rFonts w:hint="eastAsia" w:ascii="宋体" w:hAnsi="宋体" w:cs="宋体"/>
          <w:color w:val="000000"/>
          <w:sz w:val="24"/>
          <w:szCs w:val="24"/>
        </w:rPr>
        <w:t>服务</w:t>
      </w:r>
      <w:r>
        <w:rPr>
          <w:rFonts w:hint="eastAsia" w:ascii="宋体" w:hAnsi="宋体" w:cs="宋体"/>
          <w:color w:val="000000"/>
          <w:sz w:val="24"/>
          <w:szCs w:val="24"/>
          <w:shd w:val="clear" w:color="auto" w:fill="FFFFFF"/>
        </w:rPr>
        <w:t>期：</w:t>
      </w:r>
      <w:r>
        <w:rPr>
          <w:rFonts w:hint="eastAsia" w:ascii="宋体" w:hAnsi="宋体"/>
          <w:sz w:val="24"/>
        </w:rPr>
        <w:t>自合同签订之日起至本项目演习结束并通过验收为止。</w:t>
      </w:r>
    </w:p>
    <w:p>
      <w:pPr>
        <w:spacing w:line="360" w:lineRule="auto"/>
        <w:ind w:firstLine="426"/>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（二）服务地点：</w:t>
      </w:r>
      <w:r>
        <w:rPr>
          <w:rFonts w:hint="eastAsia" w:ascii="宋体" w:cs="Tahoma"/>
          <w:bCs/>
          <w:sz w:val="24"/>
          <w:szCs w:val="28"/>
        </w:rPr>
        <w:t>阳江广泰隆码头13-14泊位对开水域。</w:t>
      </w:r>
    </w:p>
    <w:bookmarkEnd w:id="198"/>
    <w:bookmarkEnd w:id="199"/>
    <w:p>
      <w:pPr>
        <w:spacing w:line="360" w:lineRule="auto"/>
        <w:outlineLvl w:val="1"/>
        <w:rPr>
          <w:rFonts w:ascii="宋体" w:hAnsi="宋体" w:cs="Tahoma"/>
          <w:b/>
          <w:sz w:val="24"/>
        </w:rPr>
      </w:pPr>
      <w:bookmarkStart w:id="200" w:name="_Toc91288820"/>
      <w:bookmarkStart w:id="201" w:name="_Toc90148914"/>
      <w:bookmarkStart w:id="202" w:name="_Toc21310"/>
      <w:bookmarkStart w:id="203" w:name="_Toc27301"/>
      <w:bookmarkStart w:id="204" w:name="_Toc149248229"/>
      <w:r>
        <w:rPr>
          <w:rFonts w:hint="eastAsia" w:ascii="宋体" w:hAnsi="宋体" w:cs="Tahoma"/>
          <w:b/>
          <w:sz w:val="24"/>
        </w:rPr>
        <w:t xml:space="preserve">第四条  </w:t>
      </w:r>
      <w:bookmarkEnd w:id="200"/>
      <w:bookmarkEnd w:id="201"/>
      <w:bookmarkEnd w:id="202"/>
      <w:bookmarkEnd w:id="203"/>
      <w:r>
        <w:rPr>
          <w:rFonts w:hint="eastAsia" w:ascii="宋体" w:hAnsi="宋体" w:cs="Tahoma"/>
          <w:b/>
          <w:sz w:val="24"/>
        </w:rPr>
        <w:t>服务内容</w:t>
      </w:r>
      <w:bookmarkEnd w:id="204"/>
    </w:p>
    <w:p>
      <w:pPr>
        <w:spacing w:line="360" w:lineRule="auto"/>
        <w:ind w:left="568"/>
        <w:rPr>
          <w:rFonts w:ascii="宋体" w:hAnsi="宋体"/>
          <w:color w:val="000000"/>
          <w:sz w:val="24"/>
          <w:szCs w:val="28"/>
          <w:shd w:val="clear" w:color="auto" w:fill="FFFFFF"/>
        </w:rPr>
      </w:pPr>
      <w:bookmarkStart w:id="205" w:name="_Toc51681508"/>
      <w:bookmarkStart w:id="206" w:name="_Toc82445261"/>
      <w:bookmarkStart w:id="207" w:name="_Toc29355"/>
      <w:bookmarkStart w:id="208" w:name="_Toc11922005"/>
      <w:bookmarkStart w:id="209" w:name="_Toc78444613"/>
      <w:bookmarkStart w:id="210" w:name="_Toc498265689"/>
      <w:bookmarkStart w:id="211" w:name="_Toc69828228"/>
      <w:bookmarkStart w:id="212" w:name="_Toc515956934"/>
      <w:bookmarkStart w:id="213" w:name="_Toc82692194"/>
      <w:bookmarkStart w:id="214" w:name="_Toc513652319"/>
      <w:bookmarkStart w:id="215" w:name="_Toc515957286"/>
      <w:bookmarkStart w:id="216" w:name="_Toc24471634"/>
      <w:bookmarkStart w:id="217" w:name="_Toc80869742"/>
      <w:bookmarkStart w:id="218" w:name="_Toc504741267"/>
      <w:bookmarkStart w:id="219" w:name="_Toc504062535"/>
      <w:bookmarkStart w:id="220" w:name="_Toc15769"/>
      <w:bookmarkStart w:id="221" w:name="_Toc90148917"/>
      <w:bookmarkStart w:id="222" w:name="_Toc514163571"/>
      <w:bookmarkStart w:id="223" w:name="_Toc66020769"/>
      <w:bookmarkStart w:id="224" w:name="_Toc515971203"/>
      <w:bookmarkStart w:id="225" w:name="_Toc75028780"/>
      <w:bookmarkStart w:id="226" w:name="_Toc21549"/>
      <w:bookmarkStart w:id="227" w:name="_Toc503169256"/>
      <w:bookmarkStart w:id="228" w:name="_Toc504122271"/>
      <w:bookmarkStart w:id="229" w:name="_Toc499278268"/>
      <w:bookmarkStart w:id="230" w:name="_Toc498079534"/>
      <w:bookmarkStart w:id="231" w:name="_Toc77781869"/>
      <w:bookmarkStart w:id="232" w:name="_Toc71878601"/>
      <w:bookmarkStart w:id="233" w:name="_Toc498978644"/>
      <w:bookmarkStart w:id="234" w:name="_Toc78274969"/>
      <w:bookmarkStart w:id="235" w:name="_Toc91288823"/>
      <w:bookmarkStart w:id="236" w:name="_Toc51249796"/>
      <w:bookmarkStart w:id="237" w:name="_Toc496045542"/>
      <w:bookmarkStart w:id="238" w:name="_Toc496096036"/>
      <w:bookmarkStart w:id="239" w:name="_Toc496123830"/>
      <w:r>
        <w:rPr>
          <w:rFonts w:hint="eastAsia" w:ascii="宋体" w:hAnsi="宋体"/>
          <w:color w:val="000000"/>
          <w:sz w:val="24"/>
          <w:szCs w:val="28"/>
          <w:shd w:val="clear" w:color="auto" w:fill="FFFFFF"/>
        </w:rPr>
        <w:t>（一）演习主题</w:t>
      </w:r>
    </w:p>
    <w:p>
      <w:pPr>
        <w:spacing w:line="360" w:lineRule="auto"/>
        <w:ind w:firstLine="480" w:firstLineChars="200"/>
        <w:rPr>
          <w:rFonts w:ascii="宋体" w:hAnsi="宋体"/>
          <w:color w:val="000000"/>
          <w:sz w:val="24"/>
          <w:szCs w:val="28"/>
          <w:shd w:val="clear" w:color="auto" w:fill="FFFFFF"/>
        </w:rPr>
      </w:pPr>
      <w:r>
        <w:rPr>
          <w:rFonts w:hint="eastAsia" w:ascii="宋体" w:hAnsi="宋体"/>
          <w:color w:val="000000"/>
          <w:sz w:val="24"/>
          <w:szCs w:val="28"/>
          <w:shd w:val="clear" w:color="auto" w:fill="FFFFFF"/>
        </w:rPr>
        <w:t>应对海上突发事件应急指挥和救援处置联合演练，强化搜救能力建设，共筑海上安全防线。</w:t>
      </w:r>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（二）演习时间</w:t>
      </w:r>
    </w:p>
    <w:p>
      <w:pPr>
        <w:spacing w:line="360" w:lineRule="auto"/>
        <w:ind w:firstLine="482" w:firstLineChars="200"/>
        <w:rPr>
          <w:rFonts w:ascii="宋体" w:hAnsi="宋体"/>
          <w:b/>
          <w:bCs/>
          <w:color w:val="000000"/>
          <w:sz w:val="24"/>
          <w:szCs w:val="28"/>
          <w:shd w:val="clear" w:color="auto" w:fill="FFFFFF"/>
        </w:rPr>
      </w:pPr>
      <w:r>
        <w:rPr>
          <w:rFonts w:hint="eastAsia" w:ascii="宋体" w:hAnsi="宋体"/>
          <w:b/>
          <w:bCs/>
          <w:color w:val="000000"/>
          <w:sz w:val="24"/>
          <w:szCs w:val="28"/>
          <w:shd w:val="clear" w:color="auto" w:fill="FFFFFF"/>
        </w:rPr>
        <w:t>拟定于11月中旬某日下午14:30时-17:35时；综合考虑气象和潮汐因素等适时调整（预留30分钟进行签到）。</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（三）演习内容</w:t>
      </w:r>
    </w:p>
    <w:p>
      <w:pPr>
        <w:spacing w:line="360" w:lineRule="auto"/>
        <w:ind w:firstLine="480" w:firstLineChars="200"/>
        <w:rPr>
          <w:rFonts w:ascii="宋体" w:hAnsi="宋体" w:cs="宋体"/>
          <w:sz w:val="24"/>
          <w:szCs w:val="24"/>
        </w:rPr>
      </w:pPr>
      <w:r>
        <w:rPr>
          <w:rFonts w:hint="eastAsia" w:ascii="宋体" w:hAnsi="宋体" w:cs="宋体"/>
          <w:sz w:val="24"/>
          <w:szCs w:val="24"/>
        </w:rPr>
        <w:t>1.本次演习采用海空立体搜救模式开展，演习模拟情景：</w:t>
      </w:r>
    </w:p>
    <w:p>
      <w:pPr>
        <w:spacing w:line="360" w:lineRule="auto"/>
        <w:ind w:firstLine="480" w:firstLineChars="200"/>
        <w:rPr>
          <w:rFonts w:ascii="宋体" w:hAnsi="宋体" w:cs="宋体"/>
          <w:sz w:val="24"/>
          <w:szCs w:val="24"/>
        </w:rPr>
      </w:pPr>
      <w:r>
        <w:rPr>
          <w:rFonts w:hint="eastAsia" w:ascii="宋体" w:hAnsi="宋体" w:cs="宋体"/>
          <w:sz w:val="24"/>
          <w:szCs w:val="24"/>
        </w:rPr>
        <w:t>（1）海上风电船舶防台人员撤离。</w:t>
      </w:r>
    </w:p>
    <w:p>
      <w:pPr>
        <w:spacing w:line="360" w:lineRule="auto"/>
        <w:ind w:firstLine="480" w:firstLineChars="200"/>
        <w:rPr>
          <w:rFonts w:ascii="宋体" w:hAnsi="宋体" w:cs="宋体"/>
          <w:sz w:val="24"/>
          <w:szCs w:val="24"/>
        </w:rPr>
      </w:pPr>
      <w:r>
        <w:rPr>
          <w:rFonts w:hint="eastAsia" w:ascii="宋体" w:hAnsi="宋体" w:cs="宋体"/>
          <w:sz w:val="24"/>
          <w:szCs w:val="24"/>
        </w:rPr>
        <w:t>（2）船舶碰撞和遇险人员转移。</w:t>
      </w:r>
    </w:p>
    <w:p>
      <w:pPr>
        <w:spacing w:line="360" w:lineRule="auto"/>
        <w:ind w:firstLine="480" w:firstLineChars="200"/>
        <w:rPr>
          <w:rFonts w:ascii="宋体" w:hAnsi="宋体" w:cs="宋体"/>
          <w:sz w:val="24"/>
          <w:szCs w:val="24"/>
        </w:rPr>
      </w:pPr>
      <w:r>
        <w:rPr>
          <w:rFonts w:hint="eastAsia" w:ascii="宋体" w:hAnsi="宋体" w:cs="宋体"/>
          <w:sz w:val="24"/>
          <w:szCs w:val="24"/>
        </w:rPr>
        <w:t>（3）搜救落水人员。</w:t>
      </w:r>
    </w:p>
    <w:p>
      <w:pPr>
        <w:spacing w:line="360" w:lineRule="auto"/>
        <w:ind w:firstLine="480" w:firstLineChars="200"/>
        <w:rPr>
          <w:rFonts w:ascii="宋体" w:hAnsi="宋体" w:cs="宋体"/>
          <w:sz w:val="24"/>
          <w:szCs w:val="24"/>
        </w:rPr>
      </w:pPr>
      <w:r>
        <w:rPr>
          <w:rFonts w:hint="eastAsia" w:ascii="宋体" w:hAnsi="宋体" w:cs="宋体"/>
          <w:sz w:val="24"/>
          <w:szCs w:val="24"/>
        </w:rPr>
        <w:t>（4）防走锚船舶碰撞风机应急处置。</w:t>
      </w:r>
    </w:p>
    <w:p>
      <w:pPr>
        <w:spacing w:line="360" w:lineRule="auto"/>
        <w:ind w:firstLine="480" w:firstLineChars="200"/>
        <w:rPr>
          <w:rFonts w:ascii="宋体" w:hAnsi="宋体" w:cs="宋体"/>
          <w:sz w:val="24"/>
          <w:szCs w:val="24"/>
        </w:rPr>
      </w:pPr>
      <w:r>
        <w:rPr>
          <w:rFonts w:hint="eastAsia" w:ascii="宋体" w:hAnsi="宋体" w:cs="宋体"/>
          <w:sz w:val="24"/>
          <w:szCs w:val="24"/>
        </w:rPr>
        <w:t>（5）船舶消防救援，包含消防拖轮协助灭火。</w:t>
      </w:r>
    </w:p>
    <w:p>
      <w:pPr>
        <w:spacing w:line="360" w:lineRule="auto"/>
        <w:ind w:firstLine="480" w:firstLineChars="200"/>
        <w:rPr>
          <w:rFonts w:ascii="宋体" w:hAnsi="宋体" w:cs="宋体"/>
          <w:sz w:val="24"/>
          <w:szCs w:val="24"/>
        </w:rPr>
      </w:pPr>
      <w:r>
        <w:rPr>
          <w:rFonts w:hint="eastAsia" w:ascii="宋体" w:hAnsi="宋体" w:cs="宋体"/>
          <w:sz w:val="24"/>
          <w:szCs w:val="24"/>
        </w:rPr>
        <w:t>（6）船舶溢油应急处置，分为溢油围控、海面溢油回收、清除等。</w:t>
      </w:r>
    </w:p>
    <w:p>
      <w:pPr>
        <w:spacing w:line="360" w:lineRule="auto"/>
        <w:ind w:firstLine="480" w:firstLineChars="200"/>
        <w:rPr>
          <w:rFonts w:ascii="宋体" w:hAnsi="宋体" w:cs="宋体"/>
          <w:b/>
          <w:sz w:val="24"/>
          <w:szCs w:val="24"/>
        </w:rPr>
      </w:pPr>
      <w:commentRangeStart w:id="7"/>
      <w:r>
        <w:rPr>
          <w:rFonts w:hint="eastAsia" w:ascii="宋体" w:hAnsi="宋体" w:cs="宋体"/>
          <w:sz w:val="24"/>
          <w:szCs w:val="24"/>
        </w:rPr>
        <w:t>整个演习共包含6个科目，参演单位25个，出动演习船舶</w:t>
      </w:r>
      <w:r>
        <w:rPr>
          <w:rFonts w:hint="eastAsia" w:ascii="宋体" w:hAnsi="宋体" w:cs="宋体"/>
          <w:color w:val="FF0000"/>
          <w:sz w:val="24"/>
          <w:szCs w:val="24"/>
        </w:rPr>
        <w:t>15艘</w:t>
      </w:r>
      <w:r>
        <w:rPr>
          <w:rFonts w:hint="eastAsia" w:ascii="宋体" w:hAnsi="宋体" w:cs="宋体"/>
          <w:sz w:val="24"/>
          <w:szCs w:val="24"/>
        </w:rPr>
        <w:t>，演习人员</w:t>
      </w:r>
      <w:r>
        <w:rPr>
          <w:rFonts w:hint="eastAsia" w:ascii="宋体" w:hAnsi="宋体" w:cs="宋体"/>
          <w:color w:val="FF0000"/>
          <w:sz w:val="24"/>
          <w:szCs w:val="24"/>
        </w:rPr>
        <w:t>120名</w:t>
      </w:r>
      <w:r>
        <w:rPr>
          <w:rFonts w:hint="eastAsia" w:ascii="宋体" w:hAnsi="宋体" w:cs="宋体"/>
          <w:sz w:val="24"/>
          <w:szCs w:val="24"/>
        </w:rPr>
        <w:t>，直升飞机2架，邀请观摩单位</w:t>
      </w:r>
      <w:r>
        <w:rPr>
          <w:rFonts w:hint="eastAsia" w:ascii="宋体" w:hAnsi="宋体" w:cs="宋体"/>
          <w:color w:val="FF0000"/>
          <w:sz w:val="24"/>
          <w:szCs w:val="24"/>
        </w:rPr>
        <w:t>31个</w:t>
      </w:r>
      <w:r>
        <w:rPr>
          <w:rFonts w:hint="eastAsia" w:ascii="宋体" w:hAnsi="宋体" w:cs="宋体"/>
          <w:sz w:val="24"/>
          <w:szCs w:val="24"/>
        </w:rPr>
        <w:t>、观摩人员</w:t>
      </w:r>
      <w:r>
        <w:rPr>
          <w:rFonts w:hint="eastAsia" w:ascii="宋体" w:hAnsi="宋体" w:cs="宋体"/>
          <w:color w:val="FF0000"/>
          <w:sz w:val="24"/>
          <w:szCs w:val="24"/>
        </w:rPr>
        <w:t>70人</w:t>
      </w:r>
      <w:r>
        <w:rPr>
          <w:rFonts w:hint="eastAsia" w:ascii="宋体" w:hAnsi="宋体" w:cs="宋体"/>
          <w:sz w:val="24"/>
          <w:szCs w:val="24"/>
        </w:rPr>
        <w:t>。全部演习时间为2小时30分，最终成功处置海上险情。</w:t>
      </w:r>
      <w:commentRangeEnd w:id="7"/>
      <w:r>
        <w:rPr>
          <w:rStyle w:val="20"/>
        </w:rPr>
        <w:commentReference w:id="7"/>
      </w:r>
    </w:p>
    <w:p>
      <w:pPr>
        <w:spacing w:line="360" w:lineRule="auto"/>
        <w:ind w:firstLine="480" w:firstLineChars="200"/>
        <w:rPr>
          <w:rFonts w:ascii="宋体" w:hAnsi="宋体" w:cs="宋体"/>
          <w:sz w:val="24"/>
          <w:szCs w:val="24"/>
        </w:rPr>
      </w:pPr>
      <w:r>
        <w:rPr>
          <w:rFonts w:hint="eastAsia" w:ascii="宋体" w:hAnsi="宋体" w:cs="宋体"/>
          <w:sz w:val="24"/>
          <w:szCs w:val="24"/>
        </w:rPr>
        <w:t>2.防台应急演习，检验海上风电企业安全生产主体责任的落实情况，各成员单位台风期间的应急处置能力。</w:t>
      </w:r>
    </w:p>
    <w:p>
      <w:pPr>
        <w:spacing w:line="360" w:lineRule="auto"/>
        <w:ind w:firstLine="480" w:firstLineChars="200"/>
        <w:rPr>
          <w:rFonts w:ascii="宋体" w:hAnsi="宋体" w:cs="宋体"/>
          <w:sz w:val="24"/>
          <w:szCs w:val="24"/>
        </w:rPr>
      </w:pPr>
      <w:r>
        <w:rPr>
          <w:rFonts w:hint="eastAsia" w:ascii="宋体" w:hAnsi="宋体" w:cs="宋体"/>
          <w:sz w:val="24"/>
          <w:szCs w:val="24"/>
        </w:rPr>
        <w:t>3.船舶碰撞演习，检验海上风电企业安全生产主体责任的落实情况，各成员单位和相关企业应对海上人命救助（人员转移）、火灾、防污染、防碰撞的应急处置能力。</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（四）服务清单</w:t>
      </w:r>
    </w:p>
    <w:tbl>
      <w:tblPr>
        <w:tblStyle w:val="17"/>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709"/>
        <w:gridCol w:w="2182"/>
        <w:gridCol w:w="1581"/>
        <w:gridCol w:w="915"/>
        <w:gridCol w:w="1106"/>
        <w:gridCol w:w="1827"/>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435" w:hRule="atLeast"/>
          <w:jc w:val="center"/>
        </w:trPr>
        <w:tc>
          <w:tcPr>
            <w:tcW w:w="9170" w:type="dxa"/>
            <w:gridSpan w:val="7"/>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1、演习场地布置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主舞台及场地搭建</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581"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规格</w:t>
            </w:r>
          </w:p>
        </w:tc>
        <w:tc>
          <w:tcPr>
            <w:tcW w:w="915"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110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观摩区地台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19.52x14.64m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观众席梯台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19.52*1.22mx6排，每排递增20cm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桁架扶手</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两边各8米扶手+12米脚</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桁架包KT板扶手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4</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LED大屏</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6x4.5mx2块</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租赁P3高清LED屏幕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屏幕支架</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18.2x2.4m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65寸高清电视（观众席）</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8</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舞台音响系统</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主控调音台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A&amp;H-GL2400调音台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9</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主扩扬声器 Linear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ODI-la110P(10寸全频线阵）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10</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主扩超低音箱 Low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ODI-18H18寸低频线阵）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11</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监听音箱 monitor</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PS-115 (15寸全频监听)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12</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无线手持话筒</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AMS-2500（配套beta58手持）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50寸高清电视（指挥部）</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指挥部音响</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5*3m，双面</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（指挥部）</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5x3m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租赁桁架外拉黑底喷画，含桌椅签到用品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其他印刷品及物料</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休息区</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间</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租赁桁架外拉黑底喷画/含地毯/椅子/灯光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入门指引</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（大门+路口）</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3*3m，2个</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工作证</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高清pvc证件，含蓝色挂带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旗帜</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288x192cm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含4米可伸缩旗杆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椅背贴</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A4粉纸打印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观众席嘉宾椅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白套+蓝花</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会议桌</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1.8*0.4m，蓝色桌布</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折叠椅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蓝色</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移动洗手间</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卫生间指引</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2x1m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通道地毯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红地毯</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场地所有红地毯铺垫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天线桁架</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控台后面，4*3m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运输费</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bl>
    <w:p/>
    <w:tbl>
      <w:tblPr>
        <w:tblStyle w:val="17"/>
        <w:tblW w:w="9105" w:type="dxa"/>
        <w:jc w:val="center"/>
        <w:tblLayout w:type="autofit"/>
        <w:tblCellMar>
          <w:top w:w="0" w:type="dxa"/>
          <w:left w:w="108" w:type="dxa"/>
          <w:bottom w:w="0" w:type="dxa"/>
          <w:right w:w="108" w:type="dxa"/>
        </w:tblCellMar>
      </w:tblPr>
      <w:tblGrid>
        <w:gridCol w:w="814"/>
        <w:gridCol w:w="709"/>
        <w:gridCol w:w="1782"/>
        <w:gridCol w:w="1476"/>
        <w:gridCol w:w="1476"/>
        <w:gridCol w:w="634"/>
        <w:gridCol w:w="709"/>
        <w:gridCol w:w="793"/>
        <w:gridCol w:w="712"/>
      </w:tblGrid>
      <w:tr>
        <w:tblPrEx>
          <w:tblCellMar>
            <w:top w:w="0" w:type="dxa"/>
            <w:left w:w="108" w:type="dxa"/>
            <w:bottom w:w="0" w:type="dxa"/>
            <w:right w:w="108" w:type="dxa"/>
          </w:tblCellMar>
        </w:tblPrEx>
        <w:trPr>
          <w:trHeight w:val="405" w:hRule="atLeast"/>
          <w:jc w:val="center"/>
        </w:trPr>
        <w:tc>
          <w:tcPr>
            <w:tcW w:w="9105"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2、视频拍摄、直播摄像设备（八个机位）</w:t>
            </w:r>
          </w:p>
        </w:tc>
      </w:tr>
      <w:tr>
        <w:tblPrEx>
          <w:tblCellMar>
            <w:top w:w="0" w:type="dxa"/>
            <w:left w:w="108" w:type="dxa"/>
            <w:bottom w:w="0" w:type="dxa"/>
            <w:right w:w="108" w:type="dxa"/>
          </w:tblCellMar>
        </w:tblPrEx>
        <w:trPr>
          <w:trHeight w:val="56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使用次数</w:t>
            </w:r>
          </w:p>
        </w:tc>
        <w:tc>
          <w:tcPr>
            <w:tcW w:w="7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63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拍摄设备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便携高清广播级摄像机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94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7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Canon HJ40ex 40倍长焦或同等级别长</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Canon HJ40ex 40倍长焦或同等级别长焦镜头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硬盘录像机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高清视频切换台面板</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Advanced Panel</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           ATEM 1M/E Advanced Panel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TALLY控制器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GPIandTally Interface</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为ATEM切换台添加8个Tally继电器触点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Sony或同等级别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24寸，7寸视频显示器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技术区主控监视器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大疆精灵PRO飞行器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4K高清无人机航拍四轴飞行器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Eclipse8或同等级别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8路通话矩阵，含对应数量耳机，话筒，手持对讲机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tbl>
      <w:tblPr>
        <w:tblStyle w:val="1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709"/>
        <w:gridCol w:w="992"/>
        <w:gridCol w:w="1134"/>
        <w:gridCol w:w="2558"/>
        <w:gridCol w:w="808"/>
        <w:gridCol w:w="708"/>
        <w:gridCol w:w="709"/>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040" w:type="dxa"/>
            <w:gridSpan w:val="9"/>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3、直播相关人员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34"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55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8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74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76"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相关人员</w:t>
            </w: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导播</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专业导播师，导播大型活动或比赛超100场</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restart"/>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持证在职摄像师</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7</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航拍飞手</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持证在职航拍飞手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技术相关</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网络系统技术人员</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现场工作人员</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跟进直播流程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bl>
    <w:p/>
    <w:tbl>
      <w:tblPr>
        <w:tblStyle w:val="17"/>
        <w:tblW w:w="9041" w:type="dxa"/>
        <w:jc w:val="center"/>
        <w:tblLayout w:type="fixed"/>
        <w:tblCellMar>
          <w:top w:w="0" w:type="dxa"/>
          <w:left w:w="108" w:type="dxa"/>
          <w:bottom w:w="0" w:type="dxa"/>
          <w:right w:w="108" w:type="dxa"/>
        </w:tblCellMar>
      </w:tblPr>
      <w:tblGrid>
        <w:gridCol w:w="1054"/>
        <w:gridCol w:w="1054"/>
        <w:gridCol w:w="1184"/>
        <w:gridCol w:w="1193"/>
        <w:gridCol w:w="1372"/>
        <w:gridCol w:w="700"/>
        <w:gridCol w:w="775"/>
        <w:gridCol w:w="813"/>
        <w:gridCol w:w="896"/>
      </w:tblGrid>
      <w:tr>
        <w:tblPrEx>
          <w:tblCellMar>
            <w:top w:w="0" w:type="dxa"/>
            <w:left w:w="108" w:type="dxa"/>
            <w:bottom w:w="0" w:type="dxa"/>
            <w:right w:w="108" w:type="dxa"/>
          </w:tblCellMar>
        </w:tblPrEx>
        <w:trPr>
          <w:trHeight w:val="405" w:hRule="atLeast"/>
          <w:jc w:val="center"/>
        </w:trPr>
        <w:tc>
          <w:tcPr>
            <w:tcW w:w="9041"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4、辅助设备</w:t>
            </w:r>
          </w:p>
        </w:tc>
      </w:tr>
      <w:tr>
        <w:tblPrEx>
          <w:tblCellMar>
            <w:top w:w="0" w:type="dxa"/>
            <w:left w:w="108" w:type="dxa"/>
            <w:bottom w:w="0" w:type="dxa"/>
            <w:right w:w="108" w:type="dxa"/>
          </w:tblCellMar>
        </w:tblPrEx>
        <w:trPr>
          <w:trHeight w:val="5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备用电源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不间断电源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SANTAK C3KVA或同等级别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UPS不间断电源3000VA/2400W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保障转播信号稳定</w:t>
            </w:r>
          </w:p>
        </w:tc>
      </w:tr>
      <w:tr>
        <w:tblPrEx>
          <w:tblCellMar>
            <w:top w:w="0" w:type="dxa"/>
            <w:left w:w="108" w:type="dxa"/>
            <w:bottom w:w="0" w:type="dxa"/>
            <w:right w:w="108" w:type="dxa"/>
          </w:tblCellMar>
        </w:tblPrEx>
        <w:trPr>
          <w:trHeight w:val="27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线</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SDI视频传输线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卡农音频传输线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视频网络收发器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nippon</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供电电缆</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公牛</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3000VA/2400W220V电源稳定供给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光纤线材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远距离视频传输专用，含千兆收发器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pPr>
        <w:pStyle w:val="6"/>
        <w:ind w:left="0"/>
      </w:pPr>
    </w:p>
    <w:tbl>
      <w:tblPr>
        <w:tblStyle w:val="17"/>
        <w:tblW w:w="9150" w:type="dxa"/>
        <w:jc w:val="center"/>
        <w:tblLayout w:type="autofit"/>
        <w:tblCellMar>
          <w:top w:w="0" w:type="dxa"/>
          <w:left w:w="108" w:type="dxa"/>
          <w:bottom w:w="0" w:type="dxa"/>
          <w:right w:w="108" w:type="dxa"/>
        </w:tblCellMar>
      </w:tblPr>
      <w:tblGrid>
        <w:gridCol w:w="787"/>
        <w:gridCol w:w="709"/>
        <w:gridCol w:w="1559"/>
        <w:gridCol w:w="1701"/>
        <w:gridCol w:w="1410"/>
        <w:gridCol w:w="700"/>
        <w:gridCol w:w="774"/>
        <w:gridCol w:w="695"/>
        <w:gridCol w:w="815"/>
      </w:tblGrid>
      <w:tr>
        <w:tblPrEx>
          <w:tblCellMar>
            <w:top w:w="0" w:type="dxa"/>
            <w:left w:w="108" w:type="dxa"/>
            <w:bottom w:w="0" w:type="dxa"/>
            <w:right w:w="108" w:type="dxa"/>
          </w:tblCellMar>
        </w:tblPrEx>
        <w:trPr>
          <w:trHeight w:val="405" w:hRule="atLeast"/>
          <w:jc w:val="center"/>
        </w:trPr>
        <w:tc>
          <w:tcPr>
            <w:tcW w:w="9150"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5、无线传输系统</w:t>
            </w:r>
          </w:p>
        </w:tc>
      </w:tr>
      <w:tr>
        <w:tblPrEx>
          <w:tblCellMar>
            <w:top w:w="0" w:type="dxa"/>
            <w:left w:w="108" w:type="dxa"/>
            <w:bottom w:w="0" w:type="dxa"/>
            <w:right w:w="108" w:type="dxa"/>
          </w:tblCellMar>
        </w:tblPrEx>
        <w:trPr>
          <w:trHeight w:val="4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8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视频传输相关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无线传输设备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4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远距离无线图传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5</w:t>
            </w:r>
          </w:p>
        </w:tc>
        <w:tc>
          <w:tcPr>
            <w:tcW w:w="6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bl>
    <w:p/>
    <w:tbl>
      <w:tblPr>
        <w:tblStyle w:val="17"/>
        <w:tblW w:w="9038" w:type="dxa"/>
        <w:jc w:val="center"/>
        <w:tblLayout w:type="autofit"/>
        <w:tblCellMar>
          <w:top w:w="0" w:type="dxa"/>
          <w:left w:w="108" w:type="dxa"/>
          <w:bottom w:w="0" w:type="dxa"/>
          <w:right w:w="108" w:type="dxa"/>
        </w:tblCellMar>
      </w:tblPr>
      <w:tblGrid>
        <w:gridCol w:w="780"/>
        <w:gridCol w:w="709"/>
        <w:gridCol w:w="4863"/>
        <w:gridCol w:w="1019"/>
        <w:gridCol w:w="851"/>
        <w:gridCol w:w="816"/>
      </w:tblGrid>
      <w:tr>
        <w:tblPrEx>
          <w:tblCellMar>
            <w:top w:w="0" w:type="dxa"/>
            <w:left w:w="108" w:type="dxa"/>
            <w:bottom w:w="0" w:type="dxa"/>
            <w:right w:w="108" w:type="dxa"/>
          </w:tblCellMar>
        </w:tblPrEx>
        <w:trPr>
          <w:trHeight w:val="435" w:hRule="atLeast"/>
          <w:jc w:val="center"/>
        </w:trPr>
        <w:tc>
          <w:tcPr>
            <w:tcW w:w="9038" w:type="dxa"/>
            <w:gridSpan w:val="6"/>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 xml:space="preserve">    6、演习方案手册印刷制作</w:t>
            </w:r>
          </w:p>
        </w:tc>
      </w:tr>
      <w:tr>
        <w:tblPrEx>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内容明细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39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设计排版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1.提炼要点整理优化形成宣传册文案；</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2.设计排版：按照甲方要求提供宣传册版面设计、文字及所有宣传图片的排版工作。</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印刷制作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全书内页28P+封面封底4P</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册</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（尺寸）210*285mm，竖版</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（工序）300g珠光纸单面印不过膜，内页200g铜版纸，四色快印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7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（装订）无线胶装</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bl>
    <w:p/>
    <w:tbl>
      <w:tblPr>
        <w:tblStyle w:val="17"/>
        <w:tblW w:w="9178" w:type="dxa"/>
        <w:jc w:val="center"/>
        <w:tblLayout w:type="fixed"/>
        <w:tblCellMar>
          <w:top w:w="0" w:type="dxa"/>
          <w:left w:w="108" w:type="dxa"/>
          <w:bottom w:w="0" w:type="dxa"/>
          <w:right w:w="108" w:type="dxa"/>
        </w:tblCellMar>
      </w:tblPr>
      <w:tblGrid>
        <w:gridCol w:w="673"/>
        <w:gridCol w:w="709"/>
        <w:gridCol w:w="992"/>
        <w:gridCol w:w="1134"/>
        <w:gridCol w:w="3119"/>
        <w:gridCol w:w="709"/>
        <w:gridCol w:w="1027"/>
        <w:gridCol w:w="815"/>
      </w:tblGrid>
      <w:tr>
        <w:tblPrEx>
          <w:tblCellMar>
            <w:top w:w="0" w:type="dxa"/>
            <w:left w:w="108" w:type="dxa"/>
            <w:bottom w:w="0" w:type="dxa"/>
            <w:right w:w="108" w:type="dxa"/>
          </w:tblCellMar>
        </w:tblPrEx>
        <w:trPr>
          <w:trHeight w:val="405" w:hRule="atLeast"/>
          <w:jc w:val="center"/>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ascii="宋体" w:hAnsi="宋体" w:cs="宋体"/>
                <w:b/>
                <w:bCs/>
                <w:color w:val="FFFFFF"/>
                <w:szCs w:val="21"/>
              </w:rPr>
            </w:pPr>
            <w:r>
              <w:rPr>
                <w:rFonts w:hint="eastAsia" w:ascii="宋体" w:hAnsi="宋体" w:cs="宋体"/>
                <w:b/>
                <w:bCs/>
                <w:color w:val="FFFFFF"/>
                <w:kern w:val="0"/>
                <w:szCs w:val="21"/>
                <w:lang w:bidi="ar"/>
              </w:rPr>
              <w:t>7、后期视频制作</w:t>
            </w:r>
          </w:p>
        </w:tc>
      </w:tr>
      <w:tr>
        <w:tblPrEx>
          <w:tblCellMar>
            <w:top w:w="0" w:type="dxa"/>
            <w:left w:w="108" w:type="dxa"/>
            <w:bottom w:w="0" w:type="dxa"/>
            <w:right w:w="108" w:type="dxa"/>
          </w:tblCellMar>
        </w:tblPrEx>
        <w:trPr>
          <w:trHeight w:val="5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产品型号</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（分钟）</w:t>
            </w:r>
          </w:p>
        </w:tc>
        <w:tc>
          <w:tcPr>
            <w:tcW w:w="81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视频后期制作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后期视频制作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海事演练素材剪辑，活动一周内</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出炉3分钟活动视频，活动十天</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内剪辑7分钟视频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分钟</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Arial" w:hAnsi="Arial" w:cs="Arial"/>
                <w:color w:val="000000"/>
                <w:szCs w:val="21"/>
              </w:rPr>
            </w:pPr>
          </w:p>
        </w:tc>
      </w:tr>
    </w:tbl>
    <w:p/>
    <w:tbl>
      <w:tblPr>
        <w:tblStyle w:val="17"/>
        <w:tblW w:w="9021" w:type="dxa"/>
        <w:jc w:val="center"/>
        <w:tblLayout w:type="autofit"/>
        <w:tblCellMar>
          <w:top w:w="0" w:type="dxa"/>
          <w:left w:w="108" w:type="dxa"/>
          <w:bottom w:w="0" w:type="dxa"/>
          <w:right w:w="108" w:type="dxa"/>
        </w:tblCellMar>
      </w:tblPr>
      <w:tblGrid>
        <w:gridCol w:w="638"/>
        <w:gridCol w:w="701"/>
        <w:gridCol w:w="993"/>
        <w:gridCol w:w="1701"/>
        <w:gridCol w:w="2908"/>
        <w:gridCol w:w="745"/>
        <w:gridCol w:w="684"/>
        <w:gridCol w:w="651"/>
      </w:tblGrid>
      <w:tr>
        <w:tblPrEx>
          <w:tblCellMar>
            <w:top w:w="0" w:type="dxa"/>
            <w:left w:w="108" w:type="dxa"/>
            <w:bottom w:w="0" w:type="dxa"/>
            <w:right w:w="108" w:type="dxa"/>
          </w:tblCellMar>
        </w:tblPrEx>
        <w:trPr>
          <w:trHeight w:val="405" w:hRule="atLeast"/>
          <w:jc w:val="center"/>
        </w:trPr>
        <w:tc>
          <w:tcPr>
            <w:tcW w:w="9021"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8、演习器材、备品</w:t>
            </w:r>
          </w:p>
        </w:tc>
      </w:tr>
      <w:tr>
        <w:tblPrEx>
          <w:tblCellMar>
            <w:top w:w="0" w:type="dxa"/>
            <w:left w:w="108" w:type="dxa"/>
            <w:bottom w:w="0" w:type="dxa"/>
            <w:right w:w="108" w:type="dxa"/>
          </w:tblCellMar>
        </w:tblPrEx>
        <w:trPr>
          <w:trHeight w:val="5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6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84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演习器材、备品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演习器材、备品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烟雾信号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信号枪（弹）、红色信号、橙色信号、漂浮烟雾信号、火焰信号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起火（或爆炸）设备、器材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海面溢油应急处置</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清污船舶、设备、耗材、人工等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pPr>
        <w:pStyle w:val="6"/>
        <w:ind w:left="0"/>
      </w:pPr>
    </w:p>
    <w:tbl>
      <w:tblPr>
        <w:tblStyle w:val="17"/>
        <w:tblW w:w="8986" w:type="dxa"/>
        <w:jc w:val="center"/>
        <w:tblLayout w:type="autofit"/>
        <w:tblCellMar>
          <w:top w:w="0" w:type="dxa"/>
          <w:left w:w="108" w:type="dxa"/>
          <w:bottom w:w="0" w:type="dxa"/>
          <w:right w:w="108" w:type="dxa"/>
        </w:tblCellMar>
      </w:tblPr>
      <w:tblGrid>
        <w:gridCol w:w="783"/>
        <w:gridCol w:w="567"/>
        <w:gridCol w:w="2087"/>
        <w:gridCol w:w="1262"/>
        <w:gridCol w:w="1679"/>
        <w:gridCol w:w="851"/>
        <w:gridCol w:w="906"/>
        <w:gridCol w:w="851"/>
      </w:tblGrid>
      <w:tr>
        <w:tblPrEx>
          <w:tblCellMar>
            <w:top w:w="0" w:type="dxa"/>
            <w:left w:w="108" w:type="dxa"/>
            <w:bottom w:w="0" w:type="dxa"/>
            <w:right w:w="108" w:type="dxa"/>
          </w:tblCellMar>
        </w:tblPrEx>
        <w:trPr>
          <w:trHeight w:val="405" w:hRule="atLeast"/>
          <w:jc w:val="center"/>
        </w:trPr>
        <w:tc>
          <w:tcPr>
            <w:tcW w:w="8986"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9、演习策划及导调服务</w:t>
            </w:r>
          </w:p>
        </w:tc>
      </w:tr>
      <w:tr>
        <w:tblPrEx>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服务项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具体内容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9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演练策划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演练整体方案策划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演练脚本策划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演练导调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演练导调服务</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6个科目，按2次分项预演，1次联合预演，1次正式演练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解说</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导调系统</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tbl>
      <w:tblPr>
        <w:tblStyle w:val="17"/>
        <w:tblW w:w="8978" w:type="dxa"/>
        <w:jc w:val="center"/>
        <w:tblLayout w:type="autofit"/>
        <w:tblCellMar>
          <w:top w:w="0" w:type="dxa"/>
          <w:left w:w="108" w:type="dxa"/>
          <w:bottom w:w="0" w:type="dxa"/>
          <w:right w:w="108" w:type="dxa"/>
        </w:tblCellMar>
      </w:tblPr>
      <w:tblGrid>
        <w:gridCol w:w="615"/>
        <w:gridCol w:w="709"/>
        <w:gridCol w:w="1276"/>
        <w:gridCol w:w="1275"/>
        <w:gridCol w:w="1646"/>
        <w:gridCol w:w="700"/>
        <w:gridCol w:w="1192"/>
        <w:gridCol w:w="708"/>
        <w:gridCol w:w="857"/>
      </w:tblGrid>
      <w:tr>
        <w:tblPrEx>
          <w:tblCellMar>
            <w:top w:w="0" w:type="dxa"/>
            <w:left w:w="108" w:type="dxa"/>
            <w:bottom w:w="0" w:type="dxa"/>
            <w:right w:w="108" w:type="dxa"/>
          </w:tblCellMar>
        </w:tblPrEx>
        <w:trPr>
          <w:trHeight w:val="405" w:hRule="atLeast"/>
          <w:jc w:val="center"/>
        </w:trPr>
        <w:tc>
          <w:tcPr>
            <w:tcW w:w="8978"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10、后勤保障及其他费用</w:t>
            </w:r>
          </w:p>
        </w:tc>
      </w:tr>
      <w:tr>
        <w:tblPrEx>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天数</w:t>
            </w: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住宿费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工作人员差旅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工作人员、记者食宿、交通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望远镜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高倍望远镜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前排主要领导望远镜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顶</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bl>
    <w:p>
      <w:pPr>
        <w:spacing w:line="360" w:lineRule="auto"/>
        <w:ind w:firstLine="480" w:firstLineChars="200"/>
        <w:rPr>
          <w:rFonts w:ascii="宋体" w:hAnsi="宋体" w:cs="宋体"/>
          <w:sz w:val="24"/>
          <w:szCs w:val="24"/>
        </w:rPr>
      </w:pPr>
    </w:p>
    <w:p>
      <w:pPr>
        <w:spacing w:line="360" w:lineRule="auto"/>
        <w:outlineLvl w:val="1"/>
        <w:rPr>
          <w:rFonts w:ascii="宋体" w:hAnsi="宋体" w:cs="Tahoma"/>
          <w:b/>
          <w:sz w:val="24"/>
        </w:rPr>
      </w:pPr>
      <w:bookmarkStart w:id="240" w:name="_Toc149248230"/>
      <w:r>
        <w:rPr>
          <w:rFonts w:hint="eastAsia" w:ascii="宋体" w:hAnsi="宋体" w:cs="Tahoma"/>
          <w:b/>
          <w:sz w:val="24"/>
        </w:rPr>
        <w:t>第五条  参演单位</w:t>
      </w:r>
      <w:bookmarkEnd w:id="240"/>
    </w:p>
    <w:p>
      <w:pPr>
        <w:spacing w:line="360" w:lineRule="auto"/>
        <w:ind w:firstLine="480" w:firstLineChars="200"/>
        <w:rPr>
          <w:rFonts w:ascii="宋体" w:hAnsi="宋体"/>
          <w:color w:val="000000"/>
          <w:sz w:val="24"/>
        </w:rPr>
      </w:pPr>
      <w:r>
        <w:rPr>
          <w:rFonts w:hint="eastAsia" w:ascii="宋体" w:hAnsi="宋体" w:cs="Tahoma"/>
          <w:bCs/>
          <w:sz w:val="24"/>
        </w:rPr>
        <w:t>广东省应急管理厅、广东省海上搜救中心、广东海事局、阳江市人民政府办公室、阳江市海上搜救中心、阳江海事局、阳江市农业农村局、南海救助局、</w:t>
      </w:r>
      <w:r>
        <w:rPr>
          <w:rFonts w:hint="eastAsia" w:ascii="宋体" w:hAnsi="宋体"/>
          <w:bCs/>
          <w:color w:val="000000"/>
          <w:sz w:val="24"/>
        </w:rPr>
        <w:t>阳江</w:t>
      </w:r>
      <w:r>
        <w:rPr>
          <w:rFonts w:hint="eastAsia" w:ascii="宋体" w:hAnsi="宋体" w:cs="Tahoma"/>
          <w:bCs/>
          <w:sz w:val="24"/>
        </w:rPr>
        <w:t>市应急管理局、阳江海警局、阳江市消防救援支队、阳江市卫生健康局、阳江市气象局、阳江市生态环境局、阳江市公安局等。</w:t>
      </w:r>
    </w:p>
    <w:p>
      <w:pPr>
        <w:spacing w:line="360" w:lineRule="auto"/>
        <w:outlineLvl w:val="1"/>
        <w:rPr>
          <w:rFonts w:ascii="宋体" w:hAnsi="宋体" w:cs="Tahoma"/>
          <w:b/>
          <w:sz w:val="24"/>
        </w:rPr>
      </w:pPr>
      <w:bookmarkStart w:id="241" w:name="_Toc149248231"/>
      <w:r>
        <w:rPr>
          <w:rFonts w:hint="eastAsia" w:ascii="宋体" w:hAnsi="宋体" w:cs="Tahoma"/>
          <w:b/>
          <w:sz w:val="24"/>
        </w:rPr>
        <w:t>第六条  演习评估</w:t>
      </w:r>
      <w:bookmarkEnd w:id="241"/>
    </w:p>
    <w:p>
      <w:pPr>
        <w:spacing w:line="360" w:lineRule="auto"/>
        <w:ind w:firstLine="480" w:firstLineChars="200"/>
        <w:jc w:val="left"/>
        <w:rPr>
          <w:rFonts w:ascii="宋体" w:hAnsi="宋体"/>
          <w:color w:val="000000"/>
          <w:sz w:val="24"/>
        </w:rPr>
      </w:pPr>
      <w:r>
        <w:rPr>
          <w:rFonts w:hint="eastAsia" w:ascii="宋体" w:hAnsi="宋体"/>
          <w:color w:val="000000"/>
          <w:sz w:val="24"/>
        </w:rPr>
        <w:t>应急演习结束后，在观摩现场，专家根据国家标准和规章制定演习评估方案评估本次演习发现的应急预案、应急组织、应急人员、应急机制、应急保障等方面存在的问题和不足，并发表评估意见和建议。乙方应做好相关记录及总结，并报于甲方作为验收材料之一。</w:t>
      </w:r>
    </w:p>
    <w:p>
      <w:pPr>
        <w:spacing w:line="360" w:lineRule="auto"/>
        <w:outlineLvl w:val="1"/>
        <w:rPr>
          <w:rFonts w:ascii="宋体" w:hAnsi="宋体" w:cs="Tahoma"/>
          <w:b/>
          <w:sz w:val="24"/>
        </w:rPr>
      </w:pPr>
      <w:bookmarkStart w:id="242" w:name="_Toc149248232"/>
      <w:r>
        <w:rPr>
          <w:rFonts w:hint="eastAsia" w:ascii="宋体" w:hAnsi="宋体" w:cs="Tahoma"/>
          <w:b/>
          <w:sz w:val="24"/>
        </w:rPr>
        <w:t>第七条  演习注意事项</w:t>
      </w:r>
      <w:bookmarkEnd w:id="242"/>
    </w:p>
    <w:p>
      <w:pPr>
        <w:spacing w:line="360" w:lineRule="auto"/>
        <w:ind w:firstLine="480" w:firstLineChars="200"/>
        <w:rPr>
          <w:rFonts w:ascii="宋体" w:hAnsi="宋体" w:cs="Tahoma"/>
          <w:bCs/>
          <w:sz w:val="24"/>
        </w:rPr>
      </w:pPr>
      <w:r>
        <w:rPr>
          <w:rFonts w:hint="eastAsia" w:ascii="宋体" w:hAnsi="宋体" w:cs="Tahoma"/>
          <w:bCs/>
          <w:sz w:val="24"/>
        </w:rPr>
        <w:t>（一）所有参与演习的人员必须穿上救生衣；</w:t>
      </w:r>
    </w:p>
    <w:p>
      <w:pPr>
        <w:spacing w:line="360" w:lineRule="auto"/>
        <w:ind w:firstLine="480" w:firstLineChars="200"/>
        <w:rPr>
          <w:rFonts w:ascii="宋体" w:hAnsi="宋体" w:cs="Tahoma"/>
          <w:bCs/>
          <w:sz w:val="24"/>
        </w:rPr>
      </w:pPr>
      <w:r>
        <w:rPr>
          <w:rFonts w:hint="eastAsia" w:ascii="宋体" w:hAnsi="宋体" w:cs="Tahoma"/>
          <w:bCs/>
          <w:sz w:val="24"/>
        </w:rPr>
        <w:t>（二）直升飞机、救助船靠近落水失踪人员时保持安全距离，通过各种方式将落水失踪人员拉抵舷边，然后救上船。</w:t>
      </w:r>
    </w:p>
    <w:p>
      <w:pPr>
        <w:spacing w:line="360" w:lineRule="auto"/>
        <w:ind w:firstLine="480" w:firstLineChars="200"/>
        <w:rPr>
          <w:rFonts w:ascii="宋体" w:hAnsi="宋体" w:cs="Tahoma"/>
          <w:bCs/>
          <w:sz w:val="24"/>
        </w:rPr>
      </w:pPr>
      <w:r>
        <w:rPr>
          <w:rFonts w:hint="eastAsia" w:ascii="宋体" w:hAnsi="宋体" w:cs="Tahoma"/>
          <w:bCs/>
          <w:sz w:val="24"/>
        </w:rPr>
        <w:t>（三）室外作业人员必须穿戴工作服、安全帽、防滑鞋等个人安全防护用具；</w:t>
      </w:r>
    </w:p>
    <w:p>
      <w:pPr>
        <w:spacing w:line="360" w:lineRule="auto"/>
        <w:ind w:firstLine="480" w:firstLineChars="200"/>
        <w:rPr>
          <w:rFonts w:ascii="宋体" w:hAnsi="宋体" w:cs="Tahoma"/>
          <w:bCs/>
          <w:sz w:val="24"/>
        </w:rPr>
      </w:pPr>
      <w:r>
        <w:rPr>
          <w:rFonts w:hint="eastAsia" w:ascii="宋体" w:hAnsi="宋体" w:cs="Tahoma"/>
          <w:bCs/>
          <w:sz w:val="24"/>
        </w:rPr>
        <w:t>（四）演习前，各参演单位、船艇及有关人员要熟悉本演习方案，以高度负责的态度做好演习准备。</w:t>
      </w:r>
    </w:p>
    <w:p>
      <w:pPr>
        <w:spacing w:line="360" w:lineRule="auto"/>
        <w:ind w:firstLine="480" w:firstLineChars="200"/>
        <w:rPr>
          <w:rFonts w:ascii="宋体" w:hAnsi="宋体" w:cs="Tahoma"/>
          <w:bCs/>
          <w:sz w:val="24"/>
        </w:rPr>
      </w:pPr>
      <w:r>
        <w:rPr>
          <w:rFonts w:hint="eastAsia" w:ascii="宋体" w:hAnsi="宋体" w:cs="Tahoma"/>
          <w:bCs/>
          <w:sz w:val="24"/>
        </w:rPr>
        <w:t>（五）参演前，各参演力量要对本船、艇以及相关属具进行全面检查；保证船艇各项设备的技术性能状态良好，尤其是本次演习中需要使用的通讯设备、消防救生设备和器材等，并保持船艇外貌清洁美观。</w:t>
      </w:r>
    </w:p>
    <w:p>
      <w:pPr>
        <w:spacing w:line="360" w:lineRule="auto"/>
        <w:ind w:firstLine="480" w:firstLineChars="200"/>
        <w:rPr>
          <w:rFonts w:ascii="宋体" w:hAnsi="宋体" w:cs="Tahoma"/>
          <w:bCs/>
          <w:sz w:val="24"/>
        </w:rPr>
      </w:pPr>
      <w:r>
        <w:rPr>
          <w:rFonts w:hint="eastAsia" w:ascii="宋体" w:hAnsi="宋体" w:cs="Tahoma"/>
          <w:bCs/>
          <w:sz w:val="24"/>
        </w:rPr>
        <w:t>（六）演习过程中，各参演力量要严格接受现场指挥单位的统一指挥和协调要求；各参演船艇的船长应与相关协调人（组）积极配合，共同完成演习任务。</w:t>
      </w:r>
    </w:p>
    <w:p>
      <w:pPr>
        <w:spacing w:line="360" w:lineRule="auto"/>
        <w:ind w:firstLine="480" w:firstLineChars="200"/>
        <w:rPr>
          <w:rFonts w:ascii="宋体" w:hAnsi="宋体" w:cs="Tahoma"/>
          <w:bCs/>
          <w:sz w:val="24"/>
        </w:rPr>
      </w:pPr>
      <w:r>
        <w:rPr>
          <w:rFonts w:hint="eastAsia" w:ascii="宋体" w:hAnsi="宋体" w:cs="Tahoma"/>
          <w:bCs/>
          <w:sz w:val="24"/>
        </w:rPr>
        <w:t>（七）演习过程中，各参演力量要严格遵照演习程序和安全操作规范，行动迅速准确，相互间的配合、协调要准确无误。</w:t>
      </w:r>
    </w:p>
    <w:p>
      <w:pPr>
        <w:spacing w:line="360" w:lineRule="auto"/>
        <w:ind w:firstLine="480" w:firstLineChars="200"/>
        <w:rPr>
          <w:rFonts w:ascii="宋体" w:hAnsi="宋体" w:cs="Tahoma"/>
          <w:bCs/>
          <w:sz w:val="24"/>
        </w:rPr>
      </w:pPr>
      <w:r>
        <w:rPr>
          <w:rFonts w:hint="eastAsia" w:ascii="宋体" w:hAnsi="宋体" w:cs="Tahoma"/>
          <w:bCs/>
          <w:sz w:val="24"/>
        </w:rPr>
        <w:t>（八）现场指挥、总协调人和各参演力量之间以及相关协调人要按照通讯规定保持通讯畅通。</w:t>
      </w:r>
    </w:p>
    <w:p>
      <w:pPr>
        <w:spacing w:line="360" w:lineRule="auto"/>
        <w:ind w:firstLine="480" w:firstLineChars="200"/>
        <w:rPr>
          <w:rFonts w:ascii="宋体" w:hAnsi="宋体" w:cs="Tahoma"/>
          <w:bCs/>
          <w:sz w:val="24"/>
        </w:rPr>
      </w:pPr>
      <w:r>
        <w:rPr>
          <w:rFonts w:hint="eastAsia" w:ascii="宋体" w:hAnsi="宋体" w:cs="Tahoma"/>
          <w:bCs/>
          <w:sz w:val="24"/>
        </w:rPr>
        <w:t>（九）演习期间，严禁无关人员登船。</w:t>
      </w:r>
    </w:p>
    <w:p>
      <w:pPr>
        <w:spacing w:line="360" w:lineRule="auto"/>
        <w:ind w:firstLine="480" w:firstLineChars="200"/>
        <w:rPr>
          <w:rFonts w:ascii="宋体" w:hAnsi="宋体" w:cs="Tahoma"/>
          <w:bCs/>
          <w:sz w:val="24"/>
        </w:rPr>
      </w:pPr>
      <w:r>
        <w:rPr>
          <w:rFonts w:hint="eastAsia" w:ascii="宋体" w:hAnsi="宋体" w:cs="Tahoma"/>
          <w:bCs/>
          <w:sz w:val="24"/>
        </w:rPr>
        <w:t>（十）观摩台需要配备足够数量的望远镜、VHF、对讲机。现场指挥与各船艇的通信频道为VHF77频道，各参演船艇应保持VHF77频道的有效守听；各单位协调人应保持手机处于畅通状态；各单位协调人与各自的参演船艇之间保持通信渠道畅通。</w:t>
      </w:r>
    </w:p>
    <w:p>
      <w:pPr>
        <w:spacing w:line="360" w:lineRule="auto"/>
        <w:ind w:firstLine="480" w:firstLineChars="200"/>
        <w:rPr>
          <w:rFonts w:ascii="宋体" w:hAnsi="宋体" w:cs="Tahoma"/>
          <w:bCs/>
          <w:sz w:val="24"/>
        </w:rPr>
      </w:pPr>
      <w:r>
        <w:rPr>
          <w:rFonts w:hint="eastAsia" w:ascii="宋体" w:hAnsi="宋体" w:cs="Tahoma"/>
          <w:bCs/>
          <w:sz w:val="24"/>
        </w:rPr>
        <w:t>（十一）演习期间，如辖区发生海上突发事件，各参演船舶应听从阳江市海上搜救中心及现场指挥的组织协调（以呼叫三次“这不是演习”为指令），立即转入真实险情救助。</w:t>
      </w:r>
    </w:p>
    <w:p>
      <w:pPr>
        <w:spacing w:line="360" w:lineRule="auto"/>
        <w:outlineLvl w:val="1"/>
        <w:rPr>
          <w:rFonts w:ascii="宋体" w:hAnsi="宋体"/>
          <w:color w:val="000000"/>
          <w:sz w:val="24"/>
        </w:rPr>
      </w:pPr>
      <w:bookmarkStart w:id="243" w:name="_Toc149248233"/>
      <w:r>
        <w:rPr>
          <w:rFonts w:hint="eastAsia" w:ascii="宋体" w:hAnsi="宋体" w:cs="Tahoma"/>
          <w:b/>
          <w:sz w:val="24"/>
        </w:rPr>
        <w:t>第八条  人员要求</w:t>
      </w:r>
      <w:bookmarkEnd w:id="243"/>
    </w:p>
    <w:p>
      <w:pPr>
        <w:spacing w:line="360" w:lineRule="auto"/>
        <w:ind w:firstLine="480" w:firstLineChars="200"/>
        <w:jc w:val="left"/>
        <w:rPr>
          <w:rFonts w:ascii="宋体" w:hAnsi="宋体"/>
          <w:color w:val="000000"/>
          <w:sz w:val="24"/>
        </w:rPr>
      </w:pPr>
      <w:r>
        <w:rPr>
          <w:rFonts w:hint="eastAsia" w:ascii="宋体" w:hAnsi="宋体"/>
          <w:color w:val="000000"/>
          <w:sz w:val="24"/>
        </w:rPr>
        <w:t>（一）人员配置要求</w:t>
      </w:r>
    </w:p>
    <w:p>
      <w:pPr>
        <w:spacing w:line="360" w:lineRule="auto"/>
        <w:ind w:firstLine="480" w:firstLineChars="200"/>
        <w:jc w:val="left"/>
        <w:rPr>
          <w:rFonts w:ascii="宋体" w:hAnsi="宋体"/>
          <w:color w:val="000000"/>
          <w:sz w:val="24"/>
        </w:rPr>
      </w:pPr>
      <w:r>
        <w:rPr>
          <w:rFonts w:hint="eastAsia" w:ascii="宋体" w:hAnsi="宋体"/>
          <w:color w:val="000000"/>
          <w:sz w:val="24"/>
        </w:rPr>
        <w:t>乙方应为本项目提供专职服务人员。项目负责人应具有3年（含）或以上同类项目工作经验。乙方应保持项目组成员的稳定性，如需更换人员的，须提前征得甲方同意后方可实施。</w:t>
      </w:r>
    </w:p>
    <w:p>
      <w:pPr>
        <w:spacing w:line="360" w:lineRule="auto"/>
        <w:ind w:firstLine="480" w:firstLineChars="200"/>
        <w:jc w:val="left"/>
        <w:rPr>
          <w:rFonts w:ascii="宋体" w:hAnsi="宋体"/>
          <w:color w:val="000000"/>
          <w:sz w:val="24"/>
        </w:rPr>
      </w:pPr>
      <w:r>
        <w:rPr>
          <w:rFonts w:hint="eastAsia" w:ascii="宋体" w:hAnsi="宋体"/>
          <w:color w:val="000000"/>
          <w:sz w:val="24"/>
        </w:rPr>
        <w:t>（二）服务响应要求</w:t>
      </w:r>
    </w:p>
    <w:p>
      <w:pPr>
        <w:spacing w:line="360" w:lineRule="auto"/>
        <w:ind w:firstLine="480" w:firstLineChars="200"/>
        <w:jc w:val="left"/>
        <w:rPr>
          <w:rFonts w:ascii="宋体" w:hAnsi="宋体"/>
          <w:color w:val="000000"/>
          <w:sz w:val="24"/>
        </w:rPr>
      </w:pPr>
      <w:r>
        <w:rPr>
          <w:rFonts w:hint="eastAsia" w:ascii="宋体" w:hAnsi="宋体"/>
          <w:color w:val="000000"/>
          <w:sz w:val="24"/>
        </w:rPr>
        <w:t>乙方应保持24小时通讯联系，在</w:t>
      </w:r>
      <w:r>
        <w:rPr>
          <w:rFonts w:ascii="宋体" w:hAnsi="宋体"/>
          <w:color w:val="000000"/>
          <w:sz w:val="24"/>
        </w:rPr>
        <w:t>接到甲方通知后，</w:t>
      </w:r>
      <w:r>
        <w:rPr>
          <w:rFonts w:hint="eastAsia" w:ascii="宋体" w:hAnsi="宋体"/>
          <w:color w:val="000000"/>
          <w:sz w:val="24"/>
        </w:rPr>
        <w:t>乙方应在1小时内（含）及时响应甲方的需求并到达现场为甲方提供技术解决方案，做好多方关系的组织协调工作。</w:t>
      </w:r>
    </w:p>
    <w:p>
      <w:pPr>
        <w:spacing w:line="360" w:lineRule="auto"/>
        <w:ind w:firstLine="480" w:firstLineChars="200"/>
        <w:jc w:val="left"/>
        <w:rPr>
          <w:rFonts w:ascii="宋体" w:hAnsi="宋体"/>
          <w:color w:val="000000"/>
          <w:sz w:val="24"/>
        </w:rPr>
      </w:pPr>
      <w:r>
        <w:rPr>
          <w:rFonts w:hint="eastAsia" w:ascii="宋体" w:hAnsi="宋体"/>
          <w:color w:val="000000"/>
          <w:sz w:val="24"/>
        </w:rPr>
        <w:t>（三）人员服务要求</w:t>
      </w:r>
    </w:p>
    <w:p>
      <w:pPr>
        <w:spacing w:line="360" w:lineRule="auto"/>
        <w:ind w:firstLine="480" w:firstLineChars="200"/>
        <w:jc w:val="left"/>
        <w:rPr>
          <w:rFonts w:ascii="宋体" w:hAnsi="宋体"/>
          <w:color w:val="000000"/>
          <w:sz w:val="24"/>
        </w:rPr>
      </w:pPr>
      <w:r>
        <w:rPr>
          <w:rFonts w:hint="eastAsia" w:ascii="宋体" w:hAnsi="宋体"/>
          <w:color w:val="000000"/>
          <w:sz w:val="24"/>
        </w:rPr>
        <w:t>1.乙方须为本项目提供视频拍摄和直播服务，内容包括但不限于拍摄演练全过程、拍摄串场视频、提供演练各会场之间的视频直播服务、提供导播设备和其他相关技术支持、提供直播相关的其他服务等，其一切成果归甲方所有。</w:t>
      </w:r>
    </w:p>
    <w:p>
      <w:pPr>
        <w:spacing w:line="360" w:lineRule="auto"/>
        <w:ind w:firstLine="480" w:firstLineChars="200"/>
        <w:jc w:val="left"/>
        <w:rPr>
          <w:rFonts w:ascii="宋体" w:hAnsi="宋体"/>
          <w:color w:val="000000"/>
          <w:sz w:val="24"/>
        </w:rPr>
      </w:pPr>
      <w:r>
        <w:rPr>
          <w:rFonts w:hint="eastAsia" w:ascii="宋体" w:hAnsi="宋体"/>
          <w:color w:val="000000"/>
          <w:sz w:val="24"/>
        </w:rPr>
        <w:t>2.乙方应保证本项目的技术、服务成果或其任何一部分不会产生因第三方提出侵犯其专利权、商标权或其他合法权利而引起的法律和经济纠纷（包括诉讼方式和非诉讼方式）；如因第三方提出其专利权、商标权或其他知识产权的侵权之诉，则由乙方负责处理，一切法律责任也由乙方承担。如甲方因此遭受损失的，乙方需赔偿甲方的全部损失，包括但不限于索赔、罚款、诉讼费、律师费、差旅费、鉴定费、评估费等。</w:t>
      </w:r>
    </w:p>
    <w:p>
      <w:pPr>
        <w:spacing w:line="360" w:lineRule="auto"/>
        <w:outlineLvl w:val="1"/>
        <w:rPr>
          <w:rFonts w:ascii="宋体" w:hAnsi="宋体" w:cs="Tahoma"/>
          <w:b/>
          <w:sz w:val="24"/>
        </w:rPr>
      </w:pPr>
      <w:bookmarkStart w:id="244" w:name="_Toc149248234"/>
      <w:r>
        <w:rPr>
          <w:rFonts w:hint="eastAsia" w:ascii="宋体" w:hAnsi="宋体" w:cs="Tahoma"/>
          <w:b/>
          <w:sz w:val="24"/>
        </w:rPr>
        <w:t>第九条  工作要求</w:t>
      </w:r>
      <w:bookmarkEnd w:id="244"/>
    </w:p>
    <w:p>
      <w:pPr>
        <w:spacing w:line="360" w:lineRule="auto"/>
        <w:ind w:firstLine="480" w:firstLineChars="200"/>
        <w:jc w:val="left"/>
        <w:rPr>
          <w:rFonts w:ascii="宋体" w:hAnsi="宋体"/>
          <w:color w:val="000000"/>
          <w:sz w:val="24"/>
        </w:rPr>
      </w:pPr>
      <w:r>
        <w:rPr>
          <w:rFonts w:hint="eastAsia" w:ascii="宋体" w:hAnsi="宋体"/>
          <w:color w:val="000000"/>
          <w:sz w:val="24"/>
        </w:rPr>
        <w:t>（一）本项目的乙方为甲方提供本次演习活动的整体统筹服务工作，乙方应接受甲方及有关统筹单位就活动实施的组织协调，服从总体安排。</w:t>
      </w:r>
    </w:p>
    <w:p>
      <w:pPr>
        <w:spacing w:line="360" w:lineRule="auto"/>
        <w:ind w:firstLine="480" w:firstLineChars="200"/>
        <w:jc w:val="left"/>
        <w:rPr>
          <w:rFonts w:ascii="宋体" w:hAnsi="宋体"/>
          <w:color w:val="000000"/>
          <w:sz w:val="24"/>
        </w:rPr>
      </w:pPr>
      <w:r>
        <w:rPr>
          <w:rFonts w:hint="eastAsia" w:ascii="宋体" w:hAnsi="宋体"/>
          <w:color w:val="000000"/>
          <w:sz w:val="24"/>
        </w:rPr>
        <w:t>（二）</w:t>
      </w:r>
      <w:r>
        <w:rPr>
          <w:rFonts w:ascii="宋体" w:hAnsi="宋体"/>
          <w:color w:val="000000"/>
          <w:sz w:val="24"/>
        </w:rPr>
        <w:t>按照</w:t>
      </w:r>
      <w:r>
        <w:rPr>
          <w:rFonts w:hint="eastAsia" w:ascii="宋体" w:hAnsi="宋体"/>
          <w:color w:val="000000"/>
          <w:sz w:val="24"/>
        </w:rPr>
        <w:t>甲方</w:t>
      </w:r>
      <w:r>
        <w:rPr>
          <w:rFonts w:ascii="宋体" w:hAnsi="宋体"/>
          <w:color w:val="000000"/>
          <w:sz w:val="24"/>
        </w:rPr>
        <w:t>关于本次演习的有关要求</w:t>
      </w:r>
      <w:r>
        <w:rPr>
          <w:rFonts w:hint="eastAsia" w:ascii="宋体" w:hAnsi="宋体"/>
          <w:color w:val="000000"/>
          <w:sz w:val="24"/>
        </w:rPr>
        <w:t>，在</w:t>
      </w:r>
      <w:r>
        <w:rPr>
          <w:rFonts w:ascii="宋体" w:hAnsi="宋体"/>
          <w:color w:val="000000"/>
          <w:sz w:val="24"/>
        </w:rPr>
        <w:t>演习期间做好各类保障工作和服务措施。</w:t>
      </w:r>
    </w:p>
    <w:p>
      <w:pPr>
        <w:spacing w:line="360" w:lineRule="auto"/>
        <w:ind w:firstLine="480" w:firstLineChars="200"/>
        <w:jc w:val="left"/>
        <w:rPr>
          <w:rFonts w:ascii="宋体" w:hAnsi="宋体"/>
          <w:color w:val="000000"/>
          <w:sz w:val="24"/>
        </w:rPr>
      </w:pPr>
      <w:r>
        <w:rPr>
          <w:rFonts w:hint="eastAsia" w:ascii="宋体" w:hAnsi="宋体"/>
          <w:color w:val="000000"/>
          <w:sz w:val="24"/>
        </w:rPr>
        <w:t>（三）乙方需结合本次演习情况提供详细的策划方案，包括可行性活动方案、执行方案、经费预算等，并对所提供的相关内容、文件的真实性、有效性负责，并在活动开展前交由甲方确定后，负责具体实施。</w:t>
      </w:r>
    </w:p>
    <w:p>
      <w:pPr>
        <w:spacing w:line="360" w:lineRule="auto"/>
        <w:ind w:firstLine="480" w:firstLineChars="200"/>
        <w:jc w:val="left"/>
        <w:rPr>
          <w:rFonts w:ascii="宋体" w:hAnsi="宋体"/>
          <w:color w:val="000000"/>
          <w:sz w:val="24"/>
        </w:rPr>
      </w:pPr>
      <w:r>
        <w:rPr>
          <w:rFonts w:hint="eastAsia" w:ascii="宋体" w:hAnsi="宋体"/>
          <w:color w:val="000000"/>
          <w:sz w:val="24"/>
        </w:rPr>
        <w:t>（四）演习现场要求要有清晰的指引牌指示牌，活动路线图，乙方须布置演习现场，营造氛围。</w:t>
      </w:r>
    </w:p>
    <w:p>
      <w:pPr>
        <w:spacing w:line="360" w:lineRule="auto"/>
        <w:ind w:firstLine="480" w:firstLineChars="200"/>
        <w:jc w:val="left"/>
        <w:rPr>
          <w:rFonts w:ascii="宋体" w:hAnsi="宋体"/>
          <w:color w:val="000000"/>
          <w:sz w:val="24"/>
        </w:rPr>
      </w:pPr>
      <w:r>
        <w:rPr>
          <w:rFonts w:hint="eastAsia" w:ascii="宋体" w:hAnsi="宋体"/>
          <w:color w:val="000000"/>
          <w:sz w:val="24"/>
        </w:rPr>
        <w:t>（五）甲方有权对项目实施情况进行跟踪、监督并提出相关改进建议。如甲方各相关部门对演习总体方案、各行动组方案、图文、视频资料提出修改意见，乙方需负责进行补充修改。</w:t>
      </w:r>
    </w:p>
    <w:p>
      <w:pPr>
        <w:spacing w:line="360" w:lineRule="auto"/>
        <w:ind w:firstLine="480" w:firstLineChars="200"/>
        <w:jc w:val="left"/>
        <w:rPr>
          <w:rFonts w:ascii="宋体" w:hAnsi="宋体"/>
          <w:color w:val="000000"/>
          <w:sz w:val="24"/>
        </w:rPr>
      </w:pPr>
      <w:r>
        <w:rPr>
          <w:rFonts w:hint="eastAsia" w:ascii="宋体" w:hAnsi="宋体"/>
          <w:color w:val="000000"/>
          <w:sz w:val="24"/>
        </w:rPr>
        <w:t>（六）乙方必须负责完成本项目内容有关的一切事宜，包括但不限于演习策划、宣传、人员组织、布场所需物料购置租赁、活动场地布置及撤场、搭建临时场所及撤场、工作人员的提供等。</w:t>
      </w:r>
    </w:p>
    <w:p>
      <w:pPr>
        <w:spacing w:line="360" w:lineRule="auto"/>
        <w:ind w:firstLine="480" w:firstLineChars="200"/>
        <w:jc w:val="left"/>
        <w:rPr>
          <w:rFonts w:ascii="宋体" w:hAnsi="宋体"/>
          <w:color w:val="000000"/>
          <w:sz w:val="24"/>
        </w:rPr>
      </w:pPr>
      <w:r>
        <w:rPr>
          <w:rFonts w:hint="eastAsia" w:ascii="宋体" w:hAnsi="宋体"/>
          <w:color w:val="000000"/>
          <w:sz w:val="24"/>
        </w:rPr>
        <w:t>（七）乙方须与甲方保持密切联系，按甲方确定的进度表执行，配合甲方提供场地等相关审批材料，经甲方批准后方可开展工作。</w:t>
      </w:r>
    </w:p>
    <w:p>
      <w:pPr>
        <w:spacing w:line="360" w:lineRule="auto"/>
        <w:ind w:firstLine="480" w:firstLineChars="200"/>
        <w:jc w:val="left"/>
        <w:rPr>
          <w:rFonts w:ascii="宋体" w:hAnsi="宋体"/>
          <w:color w:val="000000"/>
          <w:sz w:val="24"/>
        </w:rPr>
      </w:pPr>
      <w:r>
        <w:rPr>
          <w:rFonts w:hint="eastAsia" w:ascii="宋体" w:hAnsi="宋体"/>
          <w:color w:val="000000"/>
          <w:sz w:val="24"/>
        </w:rPr>
        <w:t>（八）由于本项目时间紧，任务重，要求乙方在服务地点进行驻点服务，协助甲方进行现场布置工作，保障本次演习的顺利进行。驻点所涉及的食宿和人员费用等一切开销包含在本项目服务费费用，甲方不再另行支付。</w:t>
      </w:r>
    </w:p>
    <w:p>
      <w:pPr>
        <w:spacing w:line="360" w:lineRule="auto"/>
        <w:outlineLvl w:val="1"/>
        <w:rPr>
          <w:rFonts w:ascii="宋体" w:hAnsi="宋体" w:cs="Tahoma"/>
          <w:b/>
          <w:sz w:val="24"/>
        </w:rPr>
      </w:pPr>
      <w:bookmarkStart w:id="245" w:name="_Toc149248235"/>
      <w:r>
        <w:rPr>
          <w:rFonts w:hint="eastAsia" w:ascii="宋体" w:hAnsi="宋体" w:cs="Tahoma"/>
          <w:b/>
          <w:sz w:val="24"/>
        </w:rPr>
        <w:t>第十条  验收要求</w:t>
      </w:r>
      <w:bookmarkEnd w:id="245"/>
    </w:p>
    <w:p>
      <w:pPr>
        <w:spacing w:line="360" w:lineRule="auto"/>
        <w:ind w:firstLine="480" w:firstLineChars="200"/>
        <w:rPr>
          <w:rFonts w:ascii="宋体" w:hAnsi="宋体" w:cs="Tahoma"/>
          <w:bCs/>
          <w:sz w:val="24"/>
        </w:rPr>
      </w:pPr>
      <w:bookmarkStart w:id="246" w:name="_Toc149248236"/>
      <w:r>
        <w:rPr>
          <w:rFonts w:hint="eastAsia" w:ascii="宋体" w:hAnsi="宋体" w:cs="Tahoma"/>
          <w:bCs/>
          <w:sz w:val="24"/>
        </w:rPr>
        <w:t>（一）本项目</w:t>
      </w:r>
      <w:r>
        <w:rPr>
          <w:rFonts w:ascii="宋体" w:hAnsi="宋体" w:cs="Tahoma"/>
          <w:bCs/>
          <w:sz w:val="24"/>
        </w:rPr>
        <w:t>结束后</w:t>
      </w:r>
      <w:r>
        <w:rPr>
          <w:rFonts w:hint="eastAsia" w:ascii="宋体" w:hAnsi="宋体" w:cs="Tahoma"/>
          <w:bCs/>
          <w:sz w:val="24"/>
        </w:rPr>
        <w:t>，</w:t>
      </w:r>
      <w:r>
        <w:rPr>
          <w:rFonts w:ascii="宋体" w:hAnsi="宋体" w:cs="Tahoma"/>
          <w:bCs/>
          <w:sz w:val="24"/>
        </w:rPr>
        <w:t>乙方须向甲方提供本项目的</w:t>
      </w:r>
      <w:r>
        <w:rPr>
          <w:rFonts w:hint="eastAsia" w:ascii="宋体" w:hAnsi="宋体" w:cs="Tahoma"/>
          <w:bCs/>
          <w:sz w:val="24"/>
        </w:rPr>
        <w:t>演习后制作汇编的图片、视频、文字等资料。</w:t>
      </w:r>
    </w:p>
    <w:p>
      <w:pPr>
        <w:spacing w:line="360" w:lineRule="auto"/>
        <w:ind w:firstLine="480" w:firstLineChars="200"/>
        <w:rPr>
          <w:rFonts w:ascii="宋体" w:hAnsi="宋体" w:cs="Tahoma"/>
          <w:bCs/>
          <w:sz w:val="24"/>
        </w:rPr>
      </w:pPr>
      <w:r>
        <w:rPr>
          <w:rFonts w:hint="eastAsia" w:ascii="宋体" w:hAnsi="宋体" w:cs="Tahoma"/>
          <w:bCs/>
          <w:sz w:val="24"/>
        </w:rPr>
        <w:t>（二）甲方根据乙方提供的演习总结报告和照片图册、视频等资料，在乙方提出的验收申请后7日内组织履约验收，如验收不通过，成交供应商须配合整改直至验收通过。</w:t>
      </w:r>
    </w:p>
    <w:p>
      <w:pPr>
        <w:spacing w:line="360" w:lineRule="auto"/>
        <w:outlineLvl w:val="1"/>
        <w:rPr>
          <w:rFonts w:ascii="宋体" w:hAnsi="宋体" w:cs="Tahoma"/>
          <w:b/>
          <w:sz w:val="24"/>
        </w:rPr>
      </w:pPr>
      <w:r>
        <w:rPr>
          <w:rFonts w:hint="eastAsia" w:ascii="宋体" w:hAnsi="宋体" w:cs="Tahoma"/>
          <w:b/>
          <w:sz w:val="24"/>
        </w:rPr>
        <w:t>第十一条  付款方式</w:t>
      </w:r>
      <w:bookmarkEnd w:id="246"/>
    </w:p>
    <w:p>
      <w:pPr>
        <w:tabs>
          <w:tab w:val="left" w:pos="709"/>
        </w:tabs>
        <w:spacing w:line="360" w:lineRule="auto"/>
        <w:ind w:firstLine="420"/>
        <w:rPr>
          <w:rFonts w:ascii="宋体" w:hAnsi="宋体" w:cs="宋体"/>
          <w:color w:val="000000"/>
          <w:sz w:val="24"/>
        </w:rPr>
      </w:pPr>
      <w:r>
        <w:rPr>
          <w:rFonts w:hint="eastAsia" w:ascii="宋体" w:hAnsi="宋体" w:cs="宋体"/>
          <w:color w:val="000000"/>
          <w:sz w:val="24"/>
        </w:rPr>
        <w:t>（一）</w:t>
      </w:r>
      <w:r>
        <w:rPr>
          <w:rFonts w:hint="eastAsia" w:ascii="宋体" w:hAnsi="宋体"/>
          <w:color w:val="000000"/>
          <w:sz w:val="24"/>
        </w:rPr>
        <w:t>在签订合同后5个工作日内甲方向乙方支付合同总金额的80%，</w:t>
      </w:r>
      <w:r>
        <w:rPr>
          <w:rFonts w:hint="eastAsia" w:ascii="宋体" w:hAnsi="宋体" w:cs="宋体"/>
          <w:color w:val="000000"/>
          <w:sz w:val="24"/>
        </w:rPr>
        <w:t>项目演习完毕并经甲方验收通过后15天内甲方向乙方支付合同金额的20%。</w:t>
      </w:r>
    </w:p>
    <w:p>
      <w:pPr>
        <w:tabs>
          <w:tab w:val="left" w:pos="709"/>
        </w:tabs>
        <w:spacing w:line="360" w:lineRule="auto"/>
        <w:ind w:firstLine="420"/>
        <w:rPr>
          <w:rFonts w:ascii="宋体" w:hAnsi="宋体"/>
          <w:color w:val="000000"/>
          <w:sz w:val="24"/>
        </w:rPr>
      </w:pPr>
      <w:r>
        <w:rPr>
          <w:rFonts w:hint="eastAsia" w:ascii="宋体" w:hAnsi="宋体"/>
          <w:color w:val="000000"/>
          <w:sz w:val="24"/>
        </w:rPr>
        <w:t>（二）乙方凭以下资料办理支付手续。</w:t>
      </w:r>
    </w:p>
    <w:p>
      <w:pPr>
        <w:spacing w:line="360" w:lineRule="auto"/>
        <w:ind w:firstLine="424" w:firstLineChars="177"/>
        <w:rPr>
          <w:rFonts w:ascii="宋体" w:hAnsi="宋体"/>
          <w:color w:val="000000"/>
          <w:sz w:val="24"/>
        </w:rPr>
      </w:pPr>
      <w:r>
        <w:rPr>
          <w:rFonts w:hint="eastAsia" w:ascii="宋体" w:hAnsi="宋体"/>
          <w:color w:val="000000"/>
          <w:sz w:val="24"/>
        </w:rPr>
        <w:t>1.成交通知书；</w:t>
      </w:r>
    </w:p>
    <w:p>
      <w:pPr>
        <w:spacing w:line="360" w:lineRule="auto"/>
        <w:ind w:firstLine="424" w:firstLineChars="177"/>
        <w:rPr>
          <w:rFonts w:ascii="宋体" w:hAnsi="宋体"/>
          <w:color w:val="000000"/>
          <w:sz w:val="24"/>
        </w:rPr>
      </w:pPr>
      <w:r>
        <w:rPr>
          <w:rFonts w:hint="eastAsia" w:ascii="宋体" w:hAnsi="宋体"/>
          <w:color w:val="000000"/>
          <w:sz w:val="24"/>
        </w:rPr>
        <w:t>2.合同；</w:t>
      </w:r>
    </w:p>
    <w:p>
      <w:pPr>
        <w:spacing w:line="360" w:lineRule="auto"/>
        <w:ind w:firstLine="424" w:firstLineChars="177"/>
        <w:rPr>
          <w:rFonts w:ascii="宋体" w:hAnsi="宋体"/>
          <w:color w:val="000000"/>
          <w:sz w:val="24"/>
        </w:rPr>
      </w:pPr>
      <w:r>
        <w:rPr>
          <w:rFonts w:hint="eastAsia" w:ascii="宋体" w:hAnsi="宋体"/>
          <w:color w:val="000000"/>
          <w:sz w:val="24"/>
        </w:rPr>
        <w:t>3.乙方开具的正式发票。</w:t>
      </w:r>
    </w:p>
    <w:p>
      <w:pPr>
        <w:spacing w:line="360" w:lineRule="auto"/>
        <w:ind w:firstLine="424" w:firstLineChars="177"/>
        <w:rPr>
          <w:rFonts w:ascii="宋体" w:hAnsi="宋体"/>
          <w:color w:val="000000"/>
          <w:sz w:val="24"/>
        </w:rPr>
      </w:pPr>
      <w:r>
        <w:rPr>
          <w:rFonts w:hint="eastAsia" w:ascii="宋体" w:hAnsi="宋体"/>
          <w:color w:val="000000"/>
          <w:sz w:val="24"/>
        </w:rPr>
        <w:t>4.甲方要求的其他资料。</w:t>
      </w:r>
    </w:p>
    <w:p>
      <w:pPr>
        <w:tabs>
          <w:tab w:val="left" w:pos="709"/>
        </w:tabs>
        <w:spacing w:line="360" w:lineRule="auto"/>
        <w:ind w:firstLine="480" w:firstLineChars="200"/>
        <w:rPr>
          <w:rFonts w:ascii="宋体" w:hAnsi="宋体"/>
          <w:color w:val="000000"/>
          <w:sz w:val="24"/>
        </w:rPr>
      </w:pPr>
      <w:r>
        <w:rPr>
          <w:rFonts w:hint="eastAsia" w:ascii="宋体" w:hAnsi="宋体"/>
          <w:color w:val="000000"/>
          <w:sz w:val="24"/>
        </w:rPr>
        <w:t>（三）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tabs>
          <w:tab w:val="left" w:pos="709"/>
        </w:tabs>
        <w:spacing w:line="360" w:lineRule="auto"/>
        <w:outlineLvl w:val="1"/>
        <w:rPr>
          <w:rFonts w:ascii="宋体" w:hAnsi="宋体"/>
          <w:b/>
          <w:bCs/>
          <w:color w:val="000000"/>
          <w:sz w:val="24"/>
        </w:rPr>
      </w:pPr>
      <w:bookmarkStart w:id="247" w:name="_Toc149248237"/>
      <w:r>
        <w:rPr>
          <w:rFonts w:hint="eastAsia" w:ascii="宋体" w:hAnsi="宋体"/>
          <w:b/>
          <w:bCs/>
          <w:color w:val="000000"/>
          <w:sz w:val="24"/>
        </w:rPr>
        <w:t>第十二条  保密要求</w:t>
      </w:r>
      <w:bookmarkEnd w:id="247"/>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（一）甲乙双方应遵守所签署的附件《保密协议》。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（二）附件《保密协议》不因本合同无效或解除或终止而无效或终止，保密期限至任一方对外正式公开有关保密信息时为止。</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spacing w:line="360" w:lineRule="auto"/>
        <w:outlineLvl w:val="1"/>
        <w:rPr>
          <w:rFonts w:ascii="宋体" w:hAnsi="宋体" w:cs="Tahoma"/>
          <w:b/>
          <w:sz w:val="24"/>
        </w:rPr>
      </w:pPr>
      <w:bookmarkStart w:id="248" w:name="_Toc149248238"/>
      <w:r>
        <w:rPr>
          <w:rFonts w:hint="eastAsia" w:ascii="宋体" w:hAnsi="宋体" w:cs="Tahoma"/>
          <w:b/>
          <w:sz w:val="24"/>
        </w:rPr>
        <w:t>第十三条  违约责任</w:t>
      </w:r>
      <w:bookmarkEnd w:id="248"/>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（一）乙方提供的服务不符合磋商文件、响应文件或本合同规定的，甲方有权拒收，并且乙方须向甲方支付本合同总价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%的违约金。甲方有权要求乙方限期修改并承担因修改导致的费用，无法修改或乙方在甲方指定期间内仍无法提供符合约定的服务成果的，甲方有权解除合同，乙方应退还全部合同款项并向甲方支付本合同总价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%的违约金。违约金不足以弥补甲方损失的，乙方应承担赔偿责任。</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（二）乙方未能按本合同规定的时间提供服务，从逾期之日起每日按本合同总价  ‰的数额向甲方支付违约金；逾期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天以上（含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天）的，甲方有权解除合同，乙方应退还全部合同款项并向甲方支付本合同总价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%的违约金。违约金不足以弥补甲方损失的，乙方应承担赔偿责任。</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（三）甲方无正当理由拒收接受服务，到期拒付服务款项的，甲方向乙方偿付本合同总价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%的违约金。甲方逾期付款，则每日按欠付金额的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‰向乙方偿付违约金，但总金额不超过本合同总价的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（四）其它违约责任按《中华人民共和国民法典》处理</w:t>
      </w:r>
      <w:r>
        <w:rPr>
          <w:rFonts w:asciiTheme="minorEastAsia" w:hAnsiTheme="minorEastAsia" w:eastAsiaTheme="minorEastAsia" w:cstheme="minorEastAsia"/>
          <w:sz w:val="24"/>
          <w:szCs w:val="24"/>
        </w:rPr>
        <w:t>。</w:t>
      </w:r>
    </w:p>
    <w:p>
      <w:pPr>
        <w:spacing w:line="360" w:lineRule="auto"/>
        <w:outlineLvl w:val="1"/>
        <w:rPr>
          <w:rFonts w:ascii="宋体" w:hAnsi="宋体" w:cs="Tahoma"/>
          <w:b/>
          <w:sz w:val="24"/>
        </w:rPr>
      </w:pPr>
      <w:bookmarkStart w:id="249" w:name="_Toc149248239"/>
      <w:bookmarkStart w:id="250" w:name="_Toc27573"/>
      <w:r>
        <w:rPr>
          <w:rFonts w:hint="eastAsia" w:ascii="宋体" w:hAnsi="宋体" w:cs="Tahoma"/>
          <w:b/>
          <w:sz w:val="24"/>
        </w:rPr>
        <w:t>第十四条  甲、乙双方的权利及义务</w:t>
      </w:r>
      <w:bookmarkEnd w:id="249"/>
      <w:bookmarkEnd w:id="250"/>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（一）甲方权利义务</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1.指定专人负责与乙方联系委托事宜。</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2.提出项目服务内容和要求。</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3.配合乙方开展服务培训、业务培训等事项。按约定时间向乙方支付服务费用。</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4.对乙方工作进行监督管理，对乙方服务完成质量情况进行验收。如发现问题，有权向乙方提出整改意见。</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5.在合作过程中，有权要求乙方对不能胜任或不符合业务要求的工作人员进行更换。</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6.合同期内，甲方有权对乙方执行情况进行监督，对发现的问题,有权要求乙方限期整改。</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7.对乙方不称职的服务人员，甲方有权要求乙方限期更换。</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8.协助乙方做好工作，提供必要的帮助。</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9.依照约定的标准及期限，及时、足额支付服务费。</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（二）乙方权利义务</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1.乙方按照合同约定保质保量向甲方提供合格的服务。</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2.应尽可能保持工作人员相对稳定。</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3.乙方有义务做好工作人员的岗前培训工作，通过对服务工作人员进行相关业务专业技能的培训，达到相关工作人员上岗的必备条件。</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4.乙方应接受甲方的监督管理,对甲方提出的处理意见在3个工作日内答复。</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5.因乙方工作人员在工作期间造成甲方工作人员人身或财产损失、或第三人人身以及财产损失的，乙方应承担全额赔偿责任。</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6.在服务过程中对无法解决的事项要及时向甲方反映。</w:t>
      </w:r>
    </w:p>
    <w:p>
      <w:pPr>
        <w:pStyle w:val="21"/>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7.按照本项目服务要求向甲方交付服务成果。</w:t>
      </w:r>
    </w:p>
    <w:p>
      <w:pPr>
        <w:spacing w:line="360" w:lineRule="auto"/>
        <w:outlineLvl w:val="1"/>
        <w:rPr>
          <w:rFonts w:ascii="宋体" w:hAnsi="宋体" w:cs="Tahoma"/>
          <w:b/>
          <w:sz w:val="24"/>
        </w:rPr>
      </w:pPr>
      <w:bookmarkStart w:id="251" w:name="_Toc149248240"/>
      <w:r>
        <w:rPr>
          <w:rFonts w:hint="eastAsia" w:ascii="宋体" w:hAnsi="宋体" w:cs="Tahoma"/>
          <w:b/>
          <w:sz w:val="24"/>
        </w:rPr>
        <w:t>第十五条  争端的解决</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51"/>
    </w:p>
    <w:p>
      <w:pPr>
        <w:spacing w:line="360" w:lineRule="auto"/>
        <w:ind w:firstLine="480" w:firstLineChars="200"/>
        <w:rPr>
          <w:rFonts w:ascii="宋体" w:hAnsi="宋体" w:cs="宋体"/>
          <w:sz w:val="24"/>
          <w:szCs w:val="24"/>
        </w:rPr>
      </w:pPr>
      <w:r>
        <w:rPr>
          <w:rFonts w:hint="eastAsia" w:ascii="宋体" w:hAnsi="宋体" w:cs="宋体"/>
          <w:sz w:val="24"/>
          <w:szCs w:val="24"/>
        </w:rPr>
        <w:t>合同履行过程中双方如发生争议，双方应先协商解决，自争议发生之日起30日内协商不成的，双方同意向甲方所在地法院提请诉讼解决。</w:t>
      </w:r>
    </w:p>
    <w:p>
      <w:pPr>
        <w:spacing w:line="360" w:lineRule="auto"/>
        <w:outlineLvl w:val="1"/>
        <w:rPr>
          <w:rFonts w:ascii="宋体" w:hAnsi="宋体" w:cs="Tahoma"/>
          <w:b/>
          <w:sz w:val="24"/>
        </w:rPr>
      </w:pPr>
      <w:bookmarkStart w:id="252" w:name="_Toc31695"/>
      <w:bookmarkStart w:id="253" w:name="_Toc82692195"/>
      <w:bookmarkStart w:id="254" w:name="_Toc515957287"/>
      <w:bookmarkStart w:id="255" w:name="_Toc91288824"/>
      <w:bookmarkStart w:id="256" w:name="_Toc80869743"/>
      <w:bookmarkStart w:id="257" w:name="_Toc513652320"/>
      <w:bookmarkStart w:id="258" w:name="_Toc78274970"/>
      <w:bookmarkStart w:id="259" w:name="_Toc498265690"/>
      <w:bookmarkStart w:id="260" w:name="_Toc10337"/>
      <w:bookmarkStart w:id="261" w:name="_Toc82445262"/>
      <w:bookmarkStart w:id="262" w:name="_Toc77781870"/>
      <w:bookmarkStart w:id="263" w:name="_Toc78444614"/>
      <w:bookmarkStart w:id="264" w:name="_Toc66020770"/>
      <w:bookmarkStart w:id="265" w:name="_Toc515956935"/>
      <w:bookmarkStart w:id="266" w:name="_Toc11922006"/>
      <w:bookmarkStart w:id="267" w:name="_Toc499278269"/>
      <w:bookmarkStart w:id="268" w:name="_Toc69828229"/>
      <w:bookmarkStart w:id="269" w:name="_Toc24471635"/>
      <w:bookmarkStart w:id="270" w:name="_Toc498978645"/>
      <w:bookmarkStart w:id="271" w:name="_Toc71878602"/>
      <w:bookmarkStart w:id="272" w:name="_Toc51249797"/>
      <w:bookmarkStart w:id="273" w:name="_Toc149248241"/>
      <w:bookmarkStart w:id="274" w:name="_Toc515971204"/>
      <w:bookmarkStart w:id="275" w:name="_Toc504741268"/>
      <w:bookmarkStart w:id="276" w:name="_Toc514163572"/>
      <w:bookmarkStart w:id="277" w:name="_Toc504062536"/>
      <w:bookmarkStart w:id="278" w:name="_Toc503169257"/>
      <w:bookmarkStart w:id="279" w:name="_Toc75028781"/>
      <w:bookmarkStart w:id="280" w:name="_Toc504122272"/>
      <w:bookmarkStart w:id="281" w:name="_Toc51681509"/>
      <w:bookmarkStart w:id="282" w:name="_Toc498079535"/>
      <w:bookmarkStart w:id="283" w:name="_Toc2461"/>
      <w:bookmarkStart w:id="284" w:name="_Toc90148918"/>
      <w:r>
        <w:rPr>
          <w:rFonts w:hint="eastAsia" w:ascii="宋体" w:hAnsi="宋体" w:cs="Tahoma"/>
          <w:b/>
          <w:sz w:val="24"/>
        </w:rPr>
        <w:t>第十六条  不可抗力</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rFonts w:ascii="宋体" w:hAnsi="宋体" w:cs="Tahoma"/>
          <w:b/>
          <w:sz w:val="24"/>
        </w:rPr>
      </w:pPr>
      <w:bookmarkStart w:id="285" w:name="_Toc515956936"/>
      <w:bookmarkStart w:id="286" w:name="_Toc504122273"/>
      <w:bookmarkStart w:id="287" w:name="_Toc91288825"/>
      <w:bookmarkStart w:id="288" w:name="_Toc11922007"/>
      <w:bookmarkStart w:id="289" w:name="_Toc515957288"/>
      <w:bookmarkStart w:id="290" w:name="_Toc504741269"/>
      <w:bookmarkStart w:id="291" w:name="_Toc90148919"/>
      <w:bookmarkStart w:id="292" w:name="_Toc503169258"/>
      <w:bookmarkStart w:id="293" w:name="_Toc24471636"/>
      <w:bookmarkStart w:id="294" w:name="_Toc514163573"/>
      <w:bookmarkStart w:id="295" w:name="_Toc78274971"/>
      <w:bookmarkStart w:id="296" w:name="_Toc71878603"/>
      <w:bookmarkStart w:id="297" w:name="_Toc82692196"/>
      <w:bookmarkStart w:id="298" w:name="_Toc498978646"/>
      <w:bookmarkStart w:id="299" w:name="_Toc8041"/>
      <w:bookmarkStart w:id="300" w:name="_Toc75028782"/>
      <w:bookmarkStart w:id="301" w:name="_Toc515971205"/>
      <w:bookmarkStart w:id="302" w:name="_Toc82445263"/>
      <w:bookmarkStart w:id="303" w:name="_Toc149248242"/>
      <w:bookmarkStart w:id="304" w:name="_Toc66020771"/>
      <w:bookmarkStart w:id="305" w:name="_Toc498265691"/>
      <w:bookmarkStart w:id="306" w:name="_Toc78444615"/>
      <w:bookmarkStart w:id="307" w:name="_Toc13358"/>
      <w:bookmarkStart w:id="308" w:name="_Toc69828230"/>
      <w:bookmarkStart w:id="309" w:name="_Toc51249798"/>
      <w:bookmarkStart w:id="310" w:name="_Toc498079536"/>
      <w:bookmarkStart w:id="311" w:name="_Toc504062537"/>
      <w:bookmarkStart w:id="312" w:name="_Toc51681510"/>
      <w:bookmarkStart w:id="313" w:name="_Toc30524"/>
      <w:bookmarkStart w:id="314" w:name="_Toc77781871"/>
      <w:bookmarkStart w:id="315" w:name="_Toc513652321"/>
      <w:bookmarkStart w:id="316" w:name="_Toc499278270"/>
      <w:bookmarkStart w:id="317" w:name="_Toc80869744"/>
      <w:r>
        <w:rPr>
          <w:rFonts w:hint="eastAsia" w:ascii="宋体" w:hAnsi="宋体" w:cs="Tahoma"/>
          <w:b/>
          <w:sz w:val="24"/>
        </w:rPr>
        <w:t>第十七条  税费</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360" w:lineRule="auto"/>
        <w:ind w:firstLine="480" w:firstLineChars="200"/>
        <w:rPr>
          <w:rFonts w:ascii="宋体" w:hAnsi="宋体" w:cs="宋体"/>
          <w:sz w:val="24"/>
          <w:szCs w:val="24"/>
        </w:rPr>
      </w:pPr>
      <w:r>
        <w:rPr>
          <w:rFonts w:hint="eastAsia" w:ascii="宋体" w:hAnsi="宋体" w:cs="宋体"/>
          <w:sz w:val="24"/>
          <w:szCs w:val="24"/>
        </w:rPr>
        <w:t>在中国境内、外发生的与本合同执行有关的一切税费均由乙方负担。</w:t>
      </w:r>
    </w:p>
    <w:bookmarkEnd w:id="237"/>
    <w:bookmarkEnd w:id="238"/>
    <w:bookmarkEnd w:id="239"/>
    <w:p>
      <w:pPr>
        <w:spacing w:line="360" w:lineRule="auto"/>
        <w:outlineLvl w:val="1"/>
        <w:rPr>
          <w:rFonts w:ascii="宋体" w:hAnsi="宋体" w:cs="Tahoma"/>
          <w:b/>
          <w:sz w:val="24"/>
        </w:rPr>
      </w:pPr>
      <w:bookmarkStart w:id="318" w:name="_Toc149248243"/>
      <w:bookmarkStart w:id="319" w:name="_Toc78274972"/>
      <w:bookmarkStart w:id="320" w:name="_Toc51249799"/>
      <w:bookmarkStart w:id="321" w:name="_Toc498265692"/>
      <w:bookmarkStart w:id="322" w:name="_Toc515957289"/>
      <w:bookmarkStart w:id="323" w:name="_Toc498079537"/>
      <w:bookmarkStart w:id="324" w:name="_Toc503169259"/>
      <w:bookmarkStart w:id="325" w:name="_Toc75028783"/>
      <w:bookmarkStart w:id="326" w:name="_Toc82692197"/>
      <w:bookmarkStart w:id="327" w:name="_Toc11922008"/>
      <w:bookmarkStart w:id="328" w:name="_Toc515971206"/>
      <w:bookmarkStart w:id="329" w:name="_Toc504062538"/>
      <w:bookmarkStart w:id="330" w:name="_Toc504741270"/>
      <w:bookmarkStart w:id="331" w:name="_Toc504122274"/>
      <w:bookmarkStart w:id="332" w:name="_Toc499278271"/>
      <w:bookmarkStart w:id="333" w:name="_Toc7176"/>
      <w:bookmarkStart w:id="334" w:name="_Toc66020772"/>
      <w:bookmarkStart w:id="335" w:name="_Toc78444616"/>
      <w:bookmarkStart w:id="336" w:name="_Toc71878604"/>
      <w:bookmarkStart w:id="337" w:name="_Toc69828231"/>
      <w:bookmarkStart w:id="338" w:name="_Toc513652322"/>
      <w:bookmarkStart w:id="339" w:name="_Toc24471637"/>
      <w:bookmarkStart w:id="340" w:name="_Toc514163574"/>
      <w:bookmarkStart w:id="341" w:name="_Toc90148920"/>
      <w:bookmarkStart w:id="342" w:name="_Toc51681511"/>
      <w:bookmarkStart w:id="343" w:name="_Toc498978647"/>
      <w:bookmarkStart w:id="344" w:name="_Toc12938"/>
      <w:bookmarkStart w:id="345" w:name="_Toc80869745"/>
      <w:bookmarkStart w:id="346" w:name="_Toc515956937"/>
      <w:bookmarkStart w:id="347" w:name="_Toc82445264"/>
      <w:bookmarkStart w:id="348" w:name="_Toc30310"/>
      <w:bookmarkStart w:id="349" w:name="_Toc77781872"/>
      <w:bookmarkStart w:id="350" w:name="_Toc91288826"/>
      <w:r>
        <w:rPr>
          <w:rFonts w:hint="eastAsia" w:ascii="宋体" w:hAnsi="宋体" w:cs="Tahoma"/>
          <w:b/>
          <w:sz w:val="24"/>
        </w:rPr>
        <w:t>第十八条  合同生效</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（一）本合同正本</w:t>
      </w:r>
      <w:r>
        <w:rPr>
          <w:rFonts w:hint="eastAsia" w:ascii="宋体" w:hAnsi="宋体" w:cs="宋体"/>
          <w:kern w:val="0"/>
          <w:sz w:val="24"/>
          <w:szCs w:val="24"/>
          <w:u w:val="single"/>
        </w:rPr>
        <w:t xml:space="preserve">   </w:t>
      </w:r>
      <w:r>
        <w:rPr>
          <w:rFonts w:hint="eastAsia" w:ascii="宋体" w:hAnsi="宋体" w:cs="宋体"/>
          <w:kern w:val="0"/>
          <w:sz w:val="24"/>
          <w:szCs w:val="24"/>
        </w:rPr>
        <w:t>份，具有同等法律效力，甲、乙双方各执</w:t>
      </w:r>
      <w:r>
        <w:rPr>
          <w:rFonts w:hint="eastAsia" w:ascii="宋体" w:hAnsi="宋体" w:cs="宋体"/>
          <w:kern w:val="0"/>
          <w:sz w:val="24"/>
          <w:szCs w:val="24"/>
          <w:u w:val="single"/>
        </w:rPr>
        <w:t xml:space="preserve">   </w:t>
      </w:r>
      <w:r>
        <w:rPr>
          <w:rFonts w:hint="eastAsia" w:ascii="宋体" w:hAnsi="宋体" w:cs="宋体"/>
          <w:kern w:val="0"/>
          <w:sz w:val="24"/>
          <w:szCs w:val="24"/>
        </w:rPr>
        <w:t>份。合同自双方签字并盖章之日起即时生效。</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（二）本合同未尽事宜，由双方协商处理。</w:t>
      </w:r>
    </w:p>
    <w:p>
      <w:pPr>
        <w:spacing w:line="360" w:lineRule="auto"/>
        <w:rPr>
          <w:rFonts w:ascii="宋体" w:hAnsi="宋体"/>
          <w:sz w:val="24"/>
        </w:rPr>
      </w:pPr>
      <w:r>
        <w:rPr>
          <w:rFonts w:hint="eastAsia" w:ascii="宋体" w:hAnsi="宋体"/>
          <w:sz w:val="24"/>
        </w:rPr>
        <w:t>此页无正文</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甲方：广东省应急管理厅                           乙方：</w:t>
      </w:r>
    </w:p>
    <w:p>
      <w:pPr>
        <w:spacing w:line="360" w:lineRule="auto"/>
        <w:rPr>
          <w:rFonts w:ascii="宋体" w:hAnsi="宋体"/>
          <w:sz w:val="24"/>
        </w:rPr>
      </w:pPr>
      <w:r>
        <w:rPr>
          <w:rFonts w:hint="eastAsia" w:ascii="宋体" w:hAnsi="宋体"/>
          <w:sz w:val="24"/>
        </w:rPr>
        <w:t>（盖章）                                        （盖章）</w:t>
      </w:r>
    </w:p>
    <w:p>
      <w:pPr>
        <w:spacing w:line="360" w:lineRule="auto"/>
        <w:rPr>
          <w:rFonts w:ascii="宋体" w:hAnsi="宋体"/>
          <w:sz w:val="24"/>
        </w:rPr>
      </w:pPr>
      <w:r>
        <w:rPr>
          <w:rFonts w:hint="eastAsia" w:ascii="宋体" w:hAnsi="宋体"/>
          <w:sz w:val="24"/>
        </w:rPr>
        <w:t>地址：                                           地址：</w:t>
      </w:r>
    </w:p>
    <w:p>
      <w:pPr>
        <w:spacing w:line="360" w:lineRule="auto"/>
        <w:rPr>
          <w:rFonts w:ascii="宋体" w:hAnsi="宋体"/>
          <w:sz w:val="24"/>
        </w:rPr>
      </w:pPr>
      <w:r>
        <w:rPr>
          <w:rFonts w:hint="eastAsia" w:ascii="宋体" w:hAnsi="宋体"/>
          <w:sz w:val="24"/>
        </w:rPr>
        <w:t>负责人：                                         项目负责人：</w:t>
      </w:r>
    </w:p>
    <w:p>
      <w:pPr>
        <w:spacing w:line="360" w:lineRule="auto"/>
        <w:rPr>
          <w:rFonts w:ascii="宋体" w:hAnsi="宋体"/>
          <w:sz w:val="24"/>
        </w:rPr>
      </w:pPr>
      <w:r>
        <w:rPr>
          <w:rFonts w:hint="eastAsia" w:ascii="宋体" w:hAnsi="宋体"/>
          <w:sz w:val="24"/>
        </w:rPr>
        <w:t>电话：                                           电话：</w:t>
      </w:r>
    </w:p>
    <w:p>
      <w:pPr>
        <w:spacing w:line="360" w:lineRule="auto"/>
        <w:rPr>
          <w:rFonts w:ascii="宋体" w:hAnsi="宋体"/>
          <w:sz w:val="24"/>
        </w:rPr>
      </w:pPr>
      <w:r>
        <w:rPr>
          <w:rFonts w:hint="eastAsia" w:ascii="宋体" w:hAnsi="宋体"/>
          <w:sz w:val="24"/>
        </w:rPr>
        <w:t xml:space="preserve">                                                 开户银行：</w:t>
      </w:r>
    </w:p>
    <w:p>
      <w:pPr>
        <w:spacing w:line="360" w:lineRule="auto"/>
        <w:ind w:firstLine="720" w:firstLineChars="300"/>
        <w:rPr>
          <w:rFonts w:ascii="宋体" w:hAnsi="宋体"/>
          <w:sz w:val="24"/>
        </w:rPr>
      </w:pPr>
      <w:r>
        <w:rPr>
          <w:rFonts w:hint="eastAsia" w:ascii="宋体" w:hAnsi="宋体"/>
          <w:sz w:val="24"/>
        </w:rPr>
        <w:t xml:space="preserve">                                           账号：</w:t>
      </w:r>
    </w:p>
    <w:p>
      <w:pPr>
        <w:spacing w:line="360" w:lineRule="auto"/>
        <w:rPr>
          <w:rFonts w:ascii="宋体" w:hAnsi="宋体"/>
          <w:sz w:val="24"/>
        </w:rPr>
      </w:pPr>
      <w:r>
        <w:rPr>
          <w:rFonts w:hint="eastAsia" w:ascii="宋体" w:hAnsi="宋体"/>
          <w:sz w:val="24"/>
        </w:rPr>
        <w:t xml:space="preserve">签约日期：     年   月   日                      签约日期：   年  月  日 </w:t>
      </w:r>
    </w:p>
    <w:p>
      <w:pPr>
        <w:spacing w:line="360" w:lineRule="auto"/>
      </w:pPr>
    </w:p>
    <w:bookmarkEnd w:id="41"/>
    <w:bookmarkEnd w:id="42"/>
    <w:p>
      <w:pPr>
        <w:widowControl/>
        <w:jc w:val="left"/>
        <w:rPr>
          <w:rFonts w:ascii="微软雅黑" w:hAnsi="微软雅黑" w:eastAsia="微软雅黑"/>
          <w:b/>
          <w:sz w:val="28"/>
        </w:rPr>
      </w:pPr>
      <w:r>
        <w:rPr>
          <w:rFonts w:ascii="微软雅黑" w:hAnsi="微软雅黑" w:eastAsia="微软雅黑"/>
          <w:b/>
          <w:sz w:val="28"/>
        </w:rPr>
        <w:br w:type="page"/>
      </w:r>
    </w:p>
    <w:p>
      <w:pPr>
        <w:spacing w:line="500" w:lineRule="exact"/>
        <w:jc w:val="center"/>
        <w:rPr>
          <w:rFonts w:ascii="宋体"/>
          <w:b/>
          <w:sz w:val="30"/>
          <w:szCs w:val="30"/>
        </w:rPr>
      </w:pPr>
      <w:r>
        <w:rPr>
          <w:rFonts w:hint="eastAsia" w:ascii="宋体" w:hAnsi="宋体"/>
          <w:b/>
          <w:sz w:val="30"/>
          <w:szCs w:val="30"/>
        </w:rPr>
        <w:t>公平竞争和政府采购廉政协议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甲方：广东省应急管理厅</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乙方：</w:t>
      </w:r>
    </w:p>
    <w:p>
      <w:r>
        <w:rPr>
          <w:rFonts w:hint="eastAsia"/>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为加强甲方政府采购过程的廉政管理，提高监督、制约水平，确保政府采购公平、公正、公开和透明，防止腐败现象的</w:t>
      </w:r>
      <w:r>
        <w:rPr>
          <w:rFonts w:hint="eastAsia" w:asciiTheme="minorEastAsia" w:hAnsiTheme="minorEastAsia" w:eastAsiaTheme="minorEastAsia"/>
          <w:spacing w:val="8"/>
          <w:sz w:val="24"/>
          <w:szCs w:val="24"/>
        </w:rPr>
        <w:t>发生，甲乙双方经友好协商，现就双方在甲方政府采购项目</w:t>
      </w:r>
      <w:r>
        <w:rPr>
          <w:rFonts w:hint="eastAsia" w:asciiTheme="minorEastAsia" w:hAnsiTheme="minorEastAsia" w:eastAsiaTheme="minorEastAsia"/>
          <w:spacing w:val="8"/>
          <w:sz w:val="24"/>
          <w:szCs w:val="24"/>
          <w:u w:val="single"/>
        </w:rPr>
        <w:t xml:space="preserve">               </w:t>
      </w:r>
      <w:r>
        <w:rPr>
          <w:rFonts w:hint="eastAsia" w:asciiTheme="minorEastAsia" w:hAnsiTheme="minorEastAsia" w:eastAsiaTheme="minorEastAsia"/>
          <w:sz w:val="24"/>
          <w:szCs w:val="24"/>
        </w:rPr>
        <w:t>实施过程的廉政管理签定如下公约：</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一、双方在该项目的政府采购过程中将严格遵守《中华人民共和国招标投标法》和《中华人民共和国政府采购法》以及政府采购（含建设工程招投标）的有关法律、行政法规等规定。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二、任何单位和部门不得排除和限制公平竞争，不得进行地方保护和行业垄断，禁止限制和排斥本地区、本系统外符合资质条件的单位参加甲方的政府采购竞投活动。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三、甲方应当遵从政府采购的有关管理规定制定发给投标方的采购项目的有关文件，严格按照规定完成发标、答疑、开标、评标和发出中标通知书等工作；与乙方密切协作，遵从政府采购的有关规定、采购项目的招投标文件和中标通知书，签定采购项目合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四、甲方采购项目的政府采购活动应接受纪检监察部门的监督。按规定需向投标人公布的事项必须完全公布，不能向投标人透露的事项必须完全保密。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五、甲方人员不得接受乙方的吃请馈赠，不得向乙方索要钱物。</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六、乙方应当遵从政府采购的有关管理规定并按照甲方招标文件要求完成投标的有关文件。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七、乙方不得向甲方人员和评标委员会的组成人员以及竞争性谈判、单一来源谈判、询价采购小组的组成人员行贿或者采取其他不正当手段谋取中标或者成交。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八、乙方不得与参加投标的其他供应商串通进行投标且不得弄虚作假骗取中标。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九、甲乙任一方在本采购项目的实施过程中违反政府采购有关法律和行政法规的，按有关规定予以处罚；因此造成对方损失的，应承担赔偿责任。</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十、本公约一式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份，甲乙双方各执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份。自双方签字盖章之日生效。</w:t>
      </w:r>
    </w:p>
    <w:p>
      <w:r>
        <w:rPr>
          <w:rFonts w:hint="eastAsia"/>
        </w:rPr>
        <w:t xml:space="preserve"> </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w:t>
      </w:r>
      <w:r>
        <w:rPr>
          <w:rFonts w:hint="eastAsia" w:asciiTheme="minorEastAsia" w:hAnsiTheme="minorEastAsia" w:eastAsiaTheme="minorEastAsia"/>
          <w:spacing w:val="-20"/>
          <w:sz w:val="24"/>
          <w:szCs w:val="24"/>
        </w:rPr>
        <w:t xml:space="preserve">                                 乙</w:t>
      </w:r>
      <w:r>
        <w:rPr>
          <w:rFonts w:hint="eastAsia" w:asciiTheme="minorEastAsia" w:hAnsiTheme="minorEastAsia" w:eastAsiaTheme="minorEastAsia"/>
          <w:sz w:val="24"/>
          <w:szCs w:val="24"/>
        </w:rPr>
        <w:t>方（盖章）：</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甲方代表：                             乙方代表：</w:t>
      </w:r>
    </w:p>
    <w:p>
      <w:pPr>
        <w:spacing w:line="500" w:lineRule="exact"/>
        <w:ind w:firstLine="480" w:firstLineChars="200"/>
        <w:rPr>
          <w:rFonts w:asciiTheme="minorEastAsia" w:hAnsiTheme="minorEastAsia" w:eastAsiaTheme="minorEastAsia"/>
          <w:b/>
          <w:spacing w:val="200"/>
          <w:sz w:val="24"/>
          <w:szCs w:val="24"/>
        </w:rPr>
      </w:pPr>
      <w:r>
        <w:rPr>
          <w:rFonts w:hint="eastAsia" w:asciiTheme="minorEastAsia" w:hAnsiTheme="minorEastAsia" w:eastAsiaTheme="minorEastAsia"/>
          <w:sz w:val="24"/>
          <w:szCs w:val="24"/>
        </w:rPr>
        <w:t>日期：      年   月   日               日期：    年   月   日</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w:t>
      </w:r>
    </w:p>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br w:type="page"/>
      </w:r>
      <w:r>
        <w:rPr>
          <w:rFonts w:hint="eastAsia" w:ascii="宋体" w:hAnsi="宋体"/>
          <w:b/>
          <w:sz w:val="30"/>
          <w:szCs w:val="30"/>
        </w:rPr>
        <w:t>保密协议</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u w:val="single"/>
        </w:rPr>
        <w:t>广东省应急管理厅</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w:t>
      </w:r>
      <w:r>
        <w:rPr>
          <w:rFonts w:hint="eastAsia" w:asciiTheme="minorEastAsia" w:hAnsiTheme="minorEastAsia" w:eastAsiaTheme="minorEastAsia"/>
          <w:sz w:val="24"/>
          <w:szCs w:val="24"/>
          <w:u w:val="single"/>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于甲乙双方已经或者将会获得双方的国家秘密、党政机关保密信息、商业秘密，并且双方已经意识到合作将涉及双方的业务和技术信息，而这些业务和技术信息属于保密性质，任何一方向双方现有或潜在的竞争对手或其他方披露任何这些保密信息，将会导致任何一方处于一个非常不利的竞争地位，并将会损害双方的业务以及利益。为明确双方之间的权利义务，经过甲乙双方自愿平等协商，本着诚信、公平的原则达成以下协议以资双方共同遵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第一条、保密范围。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本协议之目的，“保密信息”指属于甲乙双方或其母公司、附属公司、关联公司、有业务或合同关系的任何公司(“相关公司”)在讨论、签订、执行本合同过程中所获悉的属于对方的且无法自公开渠道获得的文件及资料（包括国家秘密、党政机关保密信息、商业秘密、公司计划、运营活动、财务信息、技术信息、经营信息及其他文件资料）。上述保密信息包括但不限于：</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(1)技术、工艺、设计的资料、图纸以及配方、配料、合成比例等;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(2)甲乙双方所有的知识产权有关的一切资料、计算机软件资料、计算机硬件设备资料;</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(3)电脑数据、内部文件、设计和功能规格, 开发计划、实施进度及其结果;</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(4)产品开发和研制的各种技术数据;</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(5)甲乙双方的财务计划及收支情况;</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(6)甲乙双方供应商及客户的信息;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(7)甲乙双方的各类档案材料，包括但不限于涉及国家秘密、党政机关保密信息、个人隐私、商业秘密等内容;</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(8)与经营、计划、营销或技术有关的信息;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(9)甲乙双方由第三者处收到的他们的专有或机密资料，且这些第三者均对甲乙双方表示该等资料仅可在某些有限的目的上使用并要求甲乙双方对该等资料保密;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(10)其他为甲乙双方或甲乙双方的商业伙伴所单独掌握的、能为甲乙双方或甲乙双方的商业伙伴带来经济效益的、并且经甲乙双方或甲乙双方商业伙伴采取保密措施的技术信息和经营信息。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第二条、保密义务。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甲乙双方承担并不限于如下保密义务：</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(1)不得刺探与买卖合同业务无关的甲乙双方以及甲乙双方商业伙伴的国家秘密、商业秘密;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(2)不得向任何第三人披露甲乙双方以及商业伙伴的商业秘密;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(3)不得允许(出借、赠与、出租、转让等方式处分甲乙双方商业秘密的行为皆属于“允许”)或协助任何第三人使用甲乙双方商业秘密信息;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(4)不得为自己利益使用或计划使用国家秘密、商业秘密;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(5)不得复制或公开包含甲乙双方单位商业秘密内容的文件、信函、正本、副本、磁盘、光盘等;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(6)不得劝诱掌握商业秘密的人员泄露国家秘密、商业秘密。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第三条、保密期限。</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双方保密义务不因主合同及本合同无效或解除或终止而无效或终止，保密期限至任一方对外正式公开有关信息时为止。</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第四条、违约责任。</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甲乙双方商定，如任何一方违反上述各项义务而损害另一方利益，按照以下方法承担违约责任：</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1.若违约方不履行本协议所规定的保密义务，应一次性向受害方支付违约金，违约金额为所签订合同金额的5%;</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2.若因违约方的违约行为造成受害方损失的，违约方除支付违约金外还应承担赔偿受害方损失的责任，具体损失赔偿标准为：</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损失赔偿额为受害方因违约方的违约行为所受到的实际经济损失，包括受害方为开发、培植有关商业秘密所投入的费用，因违约方的违约行为导致受害方产品销售量减少的金额，以及依靠商业秘密取得的利润减少金额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(2)依照(1)款计算方法难以计算的，损失赔偿额为违约方因违约行为所获得的全部利润;</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(3)受害方因调查违约方违约行为以及处理该纠纷而支付的合理费用(包括律师费)，由乙方承担。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第五条、争议的解决。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因履行该合同产生的争议，甲乙双方应该友好协商解决，如协商解决不成，任何一方可以向甲方所在地法院提起诉讼。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第六条、本协议一式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hint="eastAsia" w:asciiTheme="minorEastAsia" w:hAnsiTheme="minorEastAsia" w:eastAsiaTheme="minorEastAsia"/>
          <w:sz w:val="24"/>
          <w:szCs w:val="24"/>
          <w:u w:val="single"/>
        </w:rPr>
        <w:t>贰</w:t>
      </w:r>
      <w:r>
        <w:rPr>
          <w:rFonts w:hint="eastAsia" w:asciiTheme="minorEastAsia" w:hAnsiTheme="minorEastAsia" w:eastAsiaTheme="minorEastAsia"/>
          <w:sz w:val="24"/>
          <w:szCs w:val="24"/>
        </w:rPr>
        <w:t>份，乙方执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份。均具有同等效力。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第七条、本协议自双方签字或签章后生效。</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w:t>
      </w:r>
      <w:r>
        <w:rPr>
          <w:rFonts w:hint="eastAsia" w:asciiTheme="minorEastAsia" w:hAnsiTheme="minorEastAsia" w:eastAsiaTheme="minorEastAsia"/>
          <w:spacing w:val="-20"/>
          <w:sz w:val="24"/>
          <w:szCs w:val="24"/>
        </w:rPr>
        <w:t xml:space="preserve">                                 乙</w:t>
      </w:r>
      <w:r>
        <w:rPr>
          <w:rFonts w:hint="eastAsia" w:asciiTheme="minorEastAsia" w:hAnsiTheme="minorEastAsia" w:eastAsiaTheme="minorEastAsia"/>
          <w:sz w:val="24"/>
          <w:szCs w:val="24"/>
        </w:rPr>
        <w:t>方（盖章）：</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甲方代表：                             乙方代表：</w:t>
      </w:r>
    </w:p>
    <w:p>
      <w:pPr>
        <w:spacing w:line="500" w:lineRule="exact"/>
        <w:ind w:firstLine="480" w:firstLineChars="200"/>
        <w:rPr>
          <w:rFonts w:asciiTheme="minorEastAsia" w:hAnsiTheme="minorEastAsia" w:eastAsiaTheme="minorEastAsia"/>
          <w:b/>
          <w:spacing w:val="200"/>
          <w:sz w:val="24"/>
          <w:szCs w:val="24"/>
        </w:rPr>
      </w:pPr>
      <w:r>
        <w:rPr>
          <w:rFonts w:hint="eastAsia" w:asciiTheme="minorEastAsia" w:hAnsiTheme="minorEastAsia" w:eastAsiaTheme="minorEastAsia"/>
          <w:sz w:val="24"/>
          <w:szCs w:val="24"/>
        </w:rPr>
        <w:t>日期：      年   月   日               日期：    年   月   日</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pPr>
        <w:spacing w:line="360" w:lineRule="auto"/>
        <w:jc w:val="center"/>
        <w:outlineLvl w:val="0"/>
      </w:pPr>
      <w:bookmarkStart w:id="351" w:name="_Toc149248244"/>
      <w:r>
        <w:rPr>
          <w:rFonts w:hint="eastAsia" w:ascii="微软雅黑" w:hAnsi="微软雅黑" w:eastAsia="微软雅黑"/>
          <w:b/>
          <w:sz w:val="28"/>
        </w:rPr>
        <w:t>第四章 响应须知</w:t>
      </w:r>
      <w:bookmarkEnd w:id="351"/>
    </w:p>
    <w:p>
      <w:pPr>
        <w:jc w:val="center"/>
        <w:rPr>
          <w:b/>
          <w:sz w:val="24"/>
          <w:szCs w:val="28"/>
        </w:rPr>
      </w:pPr>
      <w:r>
        <w:rPr>
          <w:rFonts w:hint="eastAsia"/>
          <w:b/>
          <w:sz w:val="24"/>
          <w:szCs w:val="28"/>
        </w:rPr>
        <w:t>响应</w:t>
      </w:r>
      <w:r>
        <w:rPr>
          <w:b/>
          <w:sz w:val="24"/>
          <w:szCs w:val="28"/>
        </w:rPr>
        <w:t>须知前表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623"/>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52"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w:t>
            </w:r>
          </w:p>
        </w:tc>
        <w:tc>
          <w:tcPr>
            <w:tcW w:w="3712"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采购人名称</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广东省应急管理厅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资金来源</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财政性资金。本项目资金性质为财政性资金，但本采购活动属于采购人单位内部控制程序，本次采购不纳入政府采购管理范围。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答疑及踏勘现场等</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tabs>
                <w:tab w:val="left" w:pos="1084"/>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响应有效期</w:t>
            </w:r>
          </w:p>
        </w:tc>
        <w:tc>
          <w:tcPr>
            <w:tcW w:w="4023"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自</w:t>
            </w:r>
            <w:r>
              <w:rPr>
                <w:rFonts w:hint="eastAsia" w:cs="宋体" w:asciiTheme="minorEastAsia" w:hAnsiTheme="minorEastAsia" w:eastAsiaTheme="minorEastAsia"/>
                <w:szCs w:val="21"/>
                <w:shd w:val="clear" w:color="auto" w:fill="FFFFFF"/>
              </w:rPr>
              <w:t>提交首次响应文件</w:t>
            </w:r>
            <w:r>
              <w:rPr>
                <w:rFonts w:hint="eastAsia" w:cs="宋体" w:asciiTheme="minorEastAsia" w:hAnsiTheme="minorEastAsia" w:eastAsiaTheme="minorEastAsia"/>
                <w:szCs w:val="21"/>
              </w:rPr>
              <w:t>截止之日起90日。</w:t>
            </w:r>
          </w:p>
          <w:p>
            <w:pPr>
              <w:pStyle w:val="4"/>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从响应截止之日起，响应文件中的所有承诺应满足有效期为90天。在特殊情况下，采购人可于响应有效期日满之前要求响应供应商同意延长有效日期，要求与答复均应以书面形式。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响应文件份数和密封要求</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1.全部响应文件应一式4份，正本1份，副本3份，响应文件的任何涂改或修正，涂改或修正处必须由响应供应商代表签字盖章确认。</w:t>
            </w:r>
          </w:p>
          <w:p>
            <w:pPr>
              <w:pStyle w:val="2"/>
              <w:adjustRightInd w:val="0"/>
              <w:snapToGrid w:val="0"/>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2.响应文件封面标明“正本”或 “副本”，并盖章。副本可采用正本的复印件，一旦正本与副本不符，以正本为准。</w:t>
            </w:r>
          </w:p>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3.正本和电子文件一起封装</w:t>
            </w:r>
            <w:r>
              <w:rPr>
                <w:rFonts w:hint="eastAsia" w:cs="宋体" w:asciiTheme="minorEastAsia" w:hAnsiTheme="minorEastAsia" w:eastAsiaTheme="minorEastAsia"/>
                <w:b/>
                <w:color w:val="000000"/>
                <w:szCs w:val="21"/>
              </w:rPr>
              <w:t>（电子文件要求光盘或者 U 盘介质且不加密不设置密码，提供 Word 和 PDF 两种格式，Word 内容应与响应供应商打印产生的纸质响应文件内容一致，PDF 内容必须是盖章、签署的纸质响应文件正本扫描件）</w:t>
            </w:r>
            <w:r>
              <w:rPr>
                <w:rFonts w:hint="eastAsia" w:cs="宋体" w:asciiTheme="minorEastAsia" w:hAnsiTheme="minorEastAsia" w:eastAsiaTheme="minorEastAsia"/>
                <w:color w:val="000000"/>
                <w:szCs w:val="21"/>
              </w:rPr>
              <w:t>，副本全部一起封装，封套表面标明 “正本”、“副本”，并在封口上加盖响应供应商的公章。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磋商小组组成</w:t>
            </w:r>
          </w:p>
        </w:tc>
        <w:tc>
          <w:tcPr>
            <w:tcW w:w="402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ind w:left="4" w:leftChars="2"/>
              <w:rPr>
                <w:rFonts w:cs="宋体" w:asciiTheme="minorEastAsia" w:hAnsiTheme="minorEastAsia" w:eastAsiaTheme="minorEastAsia"/>
                <w:szCs w:val="21"/>
              </w:rPr>
            </w:pPr>
            <w:r>
              <w:rPr>
                <w:rFonts w:hint="eastAsia" w:cs="宋体" w:asciiTheme="minorEastAsia" w:hAnsiTheme="minorEastAsia" w:eastAsiaTheme="minorEastAsia"/>
                <w:szCs w:val="21"/>
              </w:rPr>
              <w:t>本次采购项目依法组建磋商小组，磋商小组成员人数为3人单数，如采购人不派代表评审，则磋商小组全部由专家组成。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评审方法</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本次磋商采用一轮磋商，两次报价形式进行。经磋商确定最终采购需求和提交最后报价的供应商后，由磋商小组采用综合评分法对提交最后报价的供应商的响应文件和最后报价进行综合评分。</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综合评分法，是指响应文件满足磋商文件全部实质性要求且按评审因素的量化指标评审得分最高的供应商为成交候选供应商的评审方法。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成交候选供应商的推荐</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磋商小组根据综合评分情况，编写书面的评审报告，按综合得分高低次序排出名次，并推荐综合得分排名第一的供应商为第一成交候选供应商，排名第二的供应商为第二成交候选供应商，排名第三的供应商为第三成交候选供应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综合得分相同的，按照最后报价由低到高的顺序推荐。综合得分且最后报价相同的，按照技术指标优劣顺序推荐。综合得分相同、评审价和技术评分均相同的，名次由磋商小组抽签确定。法律法规有明确规定的，以法律法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tcBorders>
              <w:top w:val="single" w:color="auto" w:sz="4" w:space="0"/>
              <w:left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vMerge w:val="restart"/>
            <w:tcBorders>
              <w:top w:val="single" w:color="auto" w:sz="4" w:space="0"/>
              <w:left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代理服务费</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本项目由成交供应商向采购代理机构支付代理服务费，收费标准根据《国家发展改革委关于进一步放开建设项目专业服务价格的通知发改价格》[2015] 299号的通知实行市场调节价执行，本次服务费以本项目预算金额作为收费的计算基数，按差额定率累进法上浮20%计算：金额在100万元（含）以下按1.5%计算。注：若本项目服务费按上述方式计算不足¥7,000.00按¥7,000.00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tcBorders>
              <w:left w:val="single" w:color="auto" w:sz="4" w:space="0"/>
              <w:bottom w:val="single" w:color="auto" w:sz="4" w:space="0"/>
              <w:right w:val="single" w:color="auto" w:sz="4" w:space="0"/>
            </w:tcBorders>
            <w:vAlign w:val="center"/>
          </w:tcPr>
          <w:p>
            <w:pPr>
              <w:widowControl/>
              <w:numPr>
                <w:ilvl w:val="0"/>
                <w:numId w:val="2"/>
              </w:numPr>
              <w:spacing w:line="360" w:lineRule="auto"/>
              <w:jc w:val="center"/>
              <w:rPr>
                <w:rFonts w:cs="宋体" w:asciiTheme="minorEastAsia" w:hAnsiTheme="minorEastAsia" w:eastAsiaTheme="minorEastAsia"/>
                <w:bCs/>
                <w:szCs w:val="21"/>
              </w:rPr>
            </w:pPr>
          </w:p>
        </w:tc>
        <w:tc>
          <w:tcPr>
            <w:tcW w:w="952"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szCs w:val="21"/>
              </w:rPr>
            </w:pPr>
          </w:p>
        </w:tc>
        <w:tc>
          <w:tcPr>
            <w:tcW w:w="3712"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收款单位：粤廉（广东）招标代理有限公司</w:t>
            </w:r>
          </w:p>
          <w:p>
            <w:pPr>
              <w:spacing w:line="360" w:lineRule="auto"/>
              <w:rPr>
                <w:rFonts w:ascii="宋体" w:hAnsi="宋体" w:cs="宋体"/>
                <w:bCs/>
                <w:szCs w:val="21"/>
              </w:rPr>
            </w:pPr>
            <w:r>
              <w:rPr>
                <w:rFonts w:hint="eastAsia" w:ascii="宋体" w:hAnsi="宋体" w:cs="宋体"/>
                <w:bCs/>
                <w:szCs w:val="21"/>
              </w:rPr>
              <w:t>开户银行：中国农业银行股份有限公司广州智慧城支行</w:t>
            </w:r>
          </w:p>
          <w:p>
            <w:pPr>
              <w:spacing w:line="360" w:lineRule="auto"/>
              <w:rPr>
                <w:rFonts w:asciiTheme="minorEastAsia" w:hAnsiTheme="minorEastAsia" w:eastAsiaTheme="minorEastAsia"/>
                <w:bCs/>
                <w:szCs w:val="21"/>
              </w:rPr>
            </w:pPr>
            <w:r>
              <w:rPr>
                <w:rFonts w:hint="eastAsia" w:ascii="宋体" w:hAnsi="宋体" w:cs="宋体"/>
                <w:bCs/>
                <w:szCs w:val="21"/>
              </w:rPr>
              <w:t>银行账号：</w:t>
            </w:r>
            <w:r>
              <w:rPr>
                <w:rFonts w:ascii="宋体" w:hAnsi="宋体" w:cs="宋体"/>
                <w:bCs/>
                <w:szCs w:val="21"/>
              </w:rPr>
              <w:t>4406 0801 0400 04812</w:t>
            </w:r>
            <w:r>
              <w:rPr>
                <w:rFonts w:hint="eastAsia" w:ascii="宋体" w:hAnsi="宋体" w:cs="宋体"/>
                <w:bCs/>
                <w:szCs w:val="21"/>
              </w:rPr>
              <w:t>（注明项目编号）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36" w:type="pct"/>
            <w:tcBorders>
              <w:top w:val="single" w:color="auto" w:sz="4" w:space="0"/>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952" w:type="pct"/>
            <w:tcBorders>
              <w:top w:val="single" w:color="auto" w:sz="4" w:space="0"/>
              <w:left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解释权</w:t>
            </w:r>
          </w:p>
        </w:tc>
        <w:tc>
          <w:tcPr>
            <w:tcW w:w="3712" w:type="pct"/>
            <w:tcBorders>
              <w:top w:val="single" w:color="auto" w:sz="4" w:space="0"/>
              <w:left w:val="single" w:color="auto" w:sz="4" w:space="0"/>
              <w:bottom w:val="single" w:color="auto" w:sz="4" w:space="0"/>
              <w:right w:val="single" w:color="auto" w:sz="4" w:space="0"/>
            </w:tcBorders>
            <w:vAlign w:val="center"/>
          </w:tcPr>
          <w:p>
            <w:pPr>
              <w:tabs>
                <w:tab w:val="left" w:pos="900"/>
              </w:tabs>
              <w:adjustRightInd w:val="0"/>
              <w:snapToGrid w:val="0"/>
              <w:spacing w:line="360" w:lineRule="auto"/>
              <w:rPr>
                <w:rFonts w:cs="宋体" w:asciiTheme="minorEastAsia" w:hAnsiTheme="minorEastAsia" w:eastAsiaTheme="minorEastAsia"/>
                <w:b/>
                <w:szCs w:val="21"/>
              </w:rPr>
            </w:pPr>
            <w:r>
              <w:rPr>
                <w:rFonts w:hint="eastAsia" w:asciiTheme="minorEastAsia" w:hAnsiTheme="minorEastAsia" w:eastAsiaTheme="minorEastAsia"/>
                <w:szCs w:val="21"/>
              </w:rPr>
              <w:t>本磋商文件的解释权归“粤廉（广东）招标代理有限公司”所有。</w:t>
            </w:r>
          </w:p>
        </w:tc>
      </w:tr>
    </w:tbl>
    <w:p/>
    <w:p>
      <w:pPr>
        <w:widowControl/>
        <w:jc w:val="left"/>
        <w:rPr>
          <w:b/>
          <w:sz w:val="24"/>
        </w:rPr>
      </w:pPr>
      <w:bookmarkStart w:id="352" w:name="_Toc513652299"/>
      <w:bookmarkStart w:id="353" w:name="_Toc51778258"/>
      <w:bookmarkStart w:id="354" w:name="_Toc75028758"/>
      <w:bookmarkStart w:id="355" w:name="_Toc55745641"/>
      <w:bookmarkStart w:id="356" w:name="_Toc82692160"/>
      <w:bookmarkStart w:id="357" w:name="_Toc489974537"/>
      <w:bookmarkStart w:id="358" w:name="_Toc71878578"/>
      <w:bookmarkStart w:id="359" w:name="_Toc24471615"/>
      <w:bookmarkStart w:id="360" w:name="_Toc447233579"/>
      <w:bookmarkStart w:id="361" w:name="_Toc66020750"/>
      <w:bookmarkStart w:id="362" w:name="_Toc475805889"/>
      <w:bookmarkStart w:id="363" w:name="_Toc422161988"/>
      <w:bookmarkStart w:id="364" w:name="_Toc26600"/>
      <w:bookmarkStart w:id="365" w:name="_Toc78444593"/>
      <w:bookmarkStart w:id="366" w:name="_Toc515971184"/>
      <w:bookmarkStart w:id="367" w:name="_Toc496045523"/>
      <w:bookmarkStart w:id="368" w:name="_Toc435687271"/>
      <w:bookmarkStart w:id="369" w:name="_Toc496096017"/>
      <w:bookmarkStart w:id="370" w:name="_Toc51416497"/>
      <w:bookmarkStart w:id="371" w:name="_Toc82445234"/>
      <w:bookmarkStart w:id="372" w:name="_Toc439513441"/>
      <w:bookmarkStart w:id="373" w:name="_Toc418023329"/>
      <w:bookmarkStart w:id="374" w:name="_Toc445809736"/>
      <w:bookmarkStart w:id="375" w:name="_Toc51416820"/>
      <w:bookmarkStart w:id="376" w:name="_Toc496123811"/>
      <w:bookmarkStart w:id="377" w:name="_Toc298920088"/>
      <w:bookmarkStart w:id="378" w:name="_Toc504062509"/>
      <w:bookmarkStart w:id="379" w:name="_Toc27505"/>
      <w:bookmarkStart w:id="380" w:name="_Toc438508593"/>
      <w:bookmarkStart w:id="381" w:name="_Toc439513157"/>
      <w:bookmarkStart w:id="382" w:name="_Toc65680698"/>
      <w:bookmarkStart w:id="383" w:name="_Toc297209415"/>
      <w:bookmarkStart w:id="384" w:name="_Toc488321012"/>
      <w:bookmarkStart w:id="385" w:name="_Toc438513730"/>
      <w:bookmarkStart w:id="386" w:name="_Toc504741241"/>
      <w:bookmarkStart w:id="387" w:name="_Toc487101001"/>
      <w:bookmarkStart w:id="388" w:name="_Toc69828211"/>
      <w:bookmarkStart w:id="389" w:name="_Toc343857022"/>
      <w:bookmarkStart w:id="390" w:name="_Toc380533806"/>
      <w:bookmarkStart w:id="391" w:name="_Toc350417820"/>
      <w:bookmarkStart w:id="392" w:name="_Toc475804832"/>
      <w:bookmarkStart w:id="393" w:name="_Toc435623750"/>
      <w:bookmarkStart w:id="394" w:name="_Toc490033944"/>
      <w:bookmarkStart w:id="395" w:name="_Toc468456993"/>
      <w:bookmarkStart w:id="396" w:name="_Toc477807574"/>
      <w:bookmarkStart w:id="397" w:name="_Toc498079509"/>
      <w:bookmarkStart w:id="398" w:name="_Toc503169231"/>
      <w:bookmarkStart w:id="399" w:name="_Toc435687345"/>
      <w:bookmarkStart w:id="400" w:name="_Toc477691923"/>
      <w:bookmarkStart w:id="401" w:name="_Toc504122245"/>
      <w:bookmarkStart w:id="402" w:name="_Toc299108386"/>
      <w:bookmarkStart w:id="403" w:name="_Toc78274949"/>
      <w:bookmarkStart w:id="404" w:name="_Toc11921986"/>
      <w:bookmarkStart w:id="405" w:name="_Toc514163551"/>
      <w:bookmarkStart w:id="406" w:name="_Toc416208482"/>
      <w:bookmarkStart w:id="407" w:name="_Toc422865417"/>
      <w:bookmarkStart w:id="408" w:name="_Toc435686976"/>
      <w:bookmarkStart w:id="409" w:name="_Toc446661213"/>
      <w:bookmarkStart w:id="410" w:name="_Toc77781847"/>
      <w:bookmarkStart w:id="411" w:name="_Toc498978619"/>
      <w:bookmarkStart w:id="412" w:name="_Toc356489049"/>
      <w:bookmarkStart w:id="413" w:name="_Toc49082409"/>
      <w:bookmarkStart w:id="414" w:name="_Toc55911455"/>
      <w:bookmarkStart w:id="415" w:name="_Toc298190380"/>
      <w:bookmarkStart w:id="416" w:name="_Toc298829957"/>
      <w:bookmarkStart w:id="417" w:name="_Toc439679264"/>
      <w:bookmarkStart w:id="418" w:name="_Toc498265664"/>
      <w:bookmarkStart w:id="419" w:name="_Toc499278243"/>
      <w:bookmarkStart w:id="420" w:name="_Toc425347658"/>
      <w:bookmarkStart w:id="421" w:name="_Toc447099502"/>
      <w:bookmarkStart w:id="422" w:name="_Toc80869722"/>
      <w:bookmarkStart w:id="423" w:name="_Toc55671076"/>
      <w:bookmarkStart w:id="424" w:name="_Toc364846096"/>
      <w:bookmarkStart w:id="425" w:name="_Toc482195754"/>
      <w:bookmarkStart w:id="426" w:name="_Toc90148884"/>
      <w:bookmarkStart w:id="427" w:name="_Toc435629788"/>
      <w:bookmarkStart w:id="428" w:name="_Toc438641461"/>
      <w:bookmarkStart w:id="429" w:name="_Toc91288828"/>
      <w:bookmarkStart w:id="430" w:name="_Toc482365826"/>
      <w:bookmarkStart w:id="431" w:name="_Toc383124044"/>
      <w:bookmarkStart w:id="432" w:name="_Toc49135195"/>
      <w:bookmarkStart w:id="433" w:name="_Toc482255066"/>
      <w:bookmarkStart w:id="434" w:name="_Toc489892958"/>
      <w:bookmarkStart w:id="435" w:name="_Toc298829716"/>
      <w:bookmarkStart w:id="436" w:name="_Toc435629834"/>
      <w:bookmarkStart w:id="437" w:name="_Toc30014"/>
      <w:bookmarkStart w:id="438" w:name="_Toc414510776"/>
      <w:bookmarkStart w:id="439" w:name="_Toc365033702"/>
      <w:bookmarkStart w:id="440" w:name="_Toc468450942"/>
      <w:bookmarkStart w:id="441" w:name="_Toc488422442"/>
      <w:bookmarkStart w:id="442" w:name="_Toc438722126"/>
      <w:bookmarkStart w:id="443" w:name="_Toc479343963"/>
      <w:r>
        <w:rPr>
          <w:b/>
          <w:sz w:val="24"/>
        </w:rPr>
        <w:br w:type="page"/>
      </w:r>
      <w:r>
        <w:rPr>
          <w:rFonts w:hint="eastAsia"/>
          <w:b/>
          <w:sz w:val="24"/>
        </w:rPr>
        <w:t>一、说明</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360" w:lineRule="auto"/>
        <w:ind w:firstLine="482" w:firstLineChars="200"/>
        <w:rPr>
          <w:rFonts w:ascii="宋体" w:hAnsi="宋体"/>
          <w:b/>
          <w:sz w:val="24"/>
        </w:rPr>
      </w:pPr>
      <w:bookmarkStart w:id="444" w:name="_Toc264616632"/>
      <w:bookmarkStart w:id="445" w:name="_Toc90148887"/>
      <w:bookmarkStart w:id="446" w:name="_Toc91288830"/>
      <w:r>
        <w:rPr>
          <w:rFonts w:hint="eastAsia" w:ascii="宋体" w:hAnsi="宋体"/>
          <w:b/>
          <w:sz w:val="24"/>
        </w:rPr>
        <w:t>1.合格的货物和服务</w:t>
      </w:r>
      <w:bookmarkEnd w:id="444"/>
      <w:bookmarkEnd w:id="445"/>
      <w:bookmarkEnd w:id="446"/>
    </w:p>
    <w:p>
      <w:pPr>
        <w:tabs>
          <w:tab w:val="left" w:pos="425"/>
          <w:tab w:val="left" w:pos="567"/>
        </w:tabs>
        <w:spacing w:line="360" w:lineRule="auto"/>
        <w:ind w:firstLine="480" w:firstLineChars="200"/>
        <w:rPr>
          <w:rFonts w:ascii="宋体" w:hAnsi="宋体"/>
          <w:sz w:val="24"/>
        </w:rPr>
      </w:pPr>
      <w:r>
        <w:rPr>
          <w:rFonts w:hint="eastAsia" w:ascii="宋体" w:hAnsi="宋体"/>
          <w:sz w:val="24"/>
        </w:rPr>
        <w:t>1.1响应供应商</w:t>
      </w:r>
      <w:r>
        <w:rPr>
          <w:rFonts w:ascii="宋体" w:hAnsi="宋体"/>
          <w:sz w:val="24"/>
        </w:rPr>
        <w:t>提供的所有货物及服务，其来源地均应为中华人民共和国或与中华人民共和国有官方贸易关系的国家或地区</w:t>
      </w:r>
      <w:r>
        <w:rPr>
          <w:rFonts w:hint="eastAsia" w:ascii="宋体" w:hAnsi="宋体"/>
          <w:sz w:val="24"/>
        </w:rPr>
        <w:t>，</w:t>
      </w:r>
      <w:r>
        <w:rPr>
          <w:rFonts w:ascii="宋体" w:hAnsi="宋体"/>
          <w:sz w:val="24"/>
        </w:rPr>
        <w:t>且符合国家、行业现行的标准及采购人需求。</w:t>
      </w:r>
    </w:p>
    <w:p>
      <w:pPr>
        <w:tabs>
          <w:tab w:val="left" w:pos="425"/>
          <w:tab w:val="left" w:pos="567"/>
        </w:tabs>
        <w:spacing w:line="360" w:lineRule="auto"/>
        <w:ind w:firstLine="480" w:firstLineChars="200"/>
        <w:rPr>
          <w:rFonts w:ascii="宋体" w:hAnsi="宋体"/>
          <w:sz w:val="24"/>
        </w:rPr>
      </w:pPr>
      <w:r>
        <w:rPr>
          <w:rFonts w:hint="eastAsia" w:ascii="宋体" w:hAnsi="宋体"/>
          <w:sz w:val="24"/>
        </w:rPr>
        <w:t>1.2</w:t>
      </w:r>
      <w:r>
        <w:rPr>
          <w:rFonts w:ascii="宋体" w:hAnsi="宋体"/>
          <w:sz w:val="24"/>
        </w:rPr>
        <w:t>采购人将拒绝接受不合格的货物和服务，由此产生的费用及相关后果均由</w:t>
      </w:r>
      <w:r>
        <w:rPr>
          <w:rFonts w:hint="eastAsia" w:ascii="宋体" w:hAnsi="宋体"/>
          <w:sz w:val="24"/>
        </w:rPr>
        <w:t>响应供应商</w:t>
      </w:r>
      <w:r>
        <w:rPr>
          <w:rFonts w:ascii="宋体" w:hAnsi="宋体"/>
          <w:sz w:val="24"/>
        </w:rPr>
        <w:t>自行承担。</w:t>
      </w:r>
    </w:p>
    <w:p>
      <w:pPr>
        <w:spacing w:line="360" w:lineRule="auto"/>
        <w:ind w:firstLine="482" w:firstLineChars="200"/>
        <w:rPr>
          <w:rFonts w:ascii="宋体" w:hAnsi="宋体"/>
          <w:b/>
          <w:sz w:val="24"/>
        </w:rPr>
      </w:pPr>
      <w:bookmarkStart w:id="447" w:name="_Toc264616637"/>
      <w:bookmarkStart w:id="448" w:name="_Toc91288831"/>
      <w:bookmarkStart w:id="449" w:name="_Toc90148888"/>
      <w:r>
        <w:rPr>
          <w:rFonts w:hint="eastAsia" w:ascii="宋体" w:hAnsi="宋体"/>
          <w:b/>
          <w:sz w:val="24"/>
        </w:rPr>
        <w:t>2.不得参与同一采购项目竞争的</w:t>
      </w:r>
      <w:bookmarkEnd w:id="447"/>
      <w:r>
        <w:rPr>
          <w:rFonts w:hint="eastAsia" w:ascii="宋体" w:hAnsi="宋体"/>
          <w:b/>
          <w:sz w:val="24"/>
        </w:rPr>
        <w:t>响应供应商</w:t>
      </w:r>
      <w:bookmarkEnd w:id="448"/>
      <w:bookmarkEnd w:id="449"/>
      <w:r>
        <w:rPr>
          <w:rFonts w:hint="eastAsia" w:ascii="宋体" w:hAnsi="宋体"/>
          <w:b/>
          <w:sz w:val="24"/>
        </w:rPr>
        <w:t>。</w:t>
      </w:r>
    </w:p>
    <w:p>
      <w:pPr>
        <w:tabs>
          <w:tab w:val="left" w:pos="425"/>
          <w:tab w:val="left" w:pos="567"/>
        </w:tabs>
        <w:spacing w:line="360" w:lineRule="auto"/>
        <w:ind w:firstLine="480" w:firstLineChars="200"/>
        <w:rPr>
          <w:rFonts w:ascii="宋体" w:hAnsi="宋体"/>
          <w:sz w:val="24"/>
        </w:rPr>
      </w:pPr>
      <w:r>
        <w:rPr>
          <w:rFonts w:hint="eastAsia" w:ascii="宋体" w:hAnsi="宋体"/>
          <w:sz w:val="24"/>
        </w:rPr>
        <w:t>彼此存在投资与被投资关系的；彼此的经营者、董事会（或同类管理机构）成员属于直系亲属或配偶关系的；法定代表人为同一个人的两个及两个以上法人，不得同时参加同一项目的响应。</w:t>
      </w:r>
    </w:p>
    <w:p>
      <w:pPr>
        <w:spacing w:line="360" w:lineRule="auto"/>
        <w:ind w:firstLine="482" w:firstLineChars="200"/>
        <w:rPr>
          <w:rFonts w:ascii="宋体" w:hAnsi="宋体"/>
          <w:b/>
          <w:sz w:val="24"/>
        </w:rPr>
      </w:pPr>
      <w:bookmarkStart w:id="450" w:name="_Toc90148889"/>
      <w:bookmarkStart w:id="451" w:name="_Toc91288832"/>
      <w:bookmarkStart w:id="452" w:name="_Toc264616638"/>
      <w:r>
        <w:rPr>
          <w:rFonts w:hint="eastAsia" w:ascii="宋体" w:hAnsi="宋体"/>
          <w:b/>
          <w:sz w:val="24"/>
        </w:rPr>
        <w:t>3.关于响应费用</w:t>
      </w:r>
      <w:bookmarkEnd w:id="450"/>
      <w:bookmarkEnd w:id="451"/>
    </w:p>
    <w:p>
      <w:pPr>
        <w:spacing w:line="360" w:lineRule="auto"/>
        <w:ind w:firstLine="480" w:firstLineChars="200"/>
        <w:rPr>
          <w:rFonts w:ascii="宋体" w:hAnsi="宋体"/>
          <w:bCs/>
          <w:sz w:val="24"/>
        </w:rPr>
      </w:pPr>
      <w:r>
        <w:rPr>
          <w:rFonts w:hint="eastAsia" w:ascii="宋体" w:hAnsi="宋体"/>
          <w:bCs/>
          <w:sz w:val="24"/>
        </w:rPr>
        <w:t>响应供应商应承担所有与其参加响应有关的全部费用。</w:t>
      </w:r>
    </w:p>
    <w:p>
      <w:pPr>
        <w:spacing w:line="360" w:lineRule="auto"/>
        <w:ind w:firstLine="482" w:firstLineChars="200"/>
        <w:rPr>
          <w:rFonts w:ascii="宋体" w:hAnsi="宋体"/>
          <w:b/>
          <w:sz w:val="24"/>
        </w:rPr>
      </w:pPr>
      <w:bookmarkStart w:id="453" w:name="_Toc90148891"/>
      <w:bookmarkStart w:id="454" w:name="_Toc91288833"/>
      <w:r>
        <w:rPr>
          <w:rFonts w:hint="eastAsia" w:ascii="宋体" w:hAnsi="宋体"/>
          <w:b/>
          <w:sz w:val="24"/>
        </w:rPr>
        <w:t>4.通知</w:t>
      </w:r>
      <w:bookmarkEnd w:id="452"/>
      <w:bookmarkEnd w:id="453"/>
      <w:bookmarkEnd w:id="454"/>
    </w:p>
    <w:p>
      <w:pPr>
        <w:tabs>
          <w:tab w:val="left" w:pos="900"/>
        </w:tabs>
        <w:adjustRightInd w:val="0"/>
        <w:snapToGrid w:val="0"/>
        <w:spacing w:line="360" w:lineRule="auto"/>
        <w:ind w:firstLine="480" w:firstLineChars="200"/>
        <w:rPr>
          <w:sz w:val="24"/>
        </w:rPr>
      </w:pPr>
      <w:r>
        <w:rPr>
          <w:rFonts w:hint="eastAsia"/>
          <w:sz w:val="24"/>
        </w:rPr>
        <w:t>对与本项目有关的通知，</w:t>
      </w:r>
      <w:r>
        <w:rPr>
          <w:rFonts w:hint="eastAsia" w:ascii="宋体" w:hAnsi="宋体"/>
          <w:sz w:val="24"/>
        </w:rPr>
        <w:t>采购代理机构</w:t>
      </w:r>
      <w:r>
        <w:rPr>
          <w:rFonts w:hint="eastAsia"/>
          <w:sz w:val="24"/>
        </w:rPr>
        <w:t>将以书面或在本次采购公告刊登的媒体上以发布公告的形式，送达所有与通知有关的已领取了</w:t>
      </w:r>
      <w:r>
        <w:rPr>
          <w:rFonts w:hint="eastAsia" w:ascii="宋体" w:hAnsi="宋体" w:cs="宋体"/>
          <w:sz w:val="24"/>
        </w:rPr>
        <w:t>磋商文件</w:t>
      </w:r>
      <w:r>
        <w:rPr>
          <w:rFonts w:hint="eastAsia"/>
          <w:sz w:val="24"/>
        </w:rPr>
        <w:t>的</w:t>
      </w:r>
      <w:r>
        <w:rPr>
          <w:rFonts w:hint="eastAsia" w:ascii="宋体" w:hAnsi="宋体" w:cs="宋体"/>
          <w:sz w:val="24"/>
        </w:rPr>
        <w:t>响应供应商</w:t>
      </w:r>
      <w:r>
        <w:rPr>
          <w:rFonts w:hint="eastAsia"/>
          <w:sz w:val="24"/>
        </w:rPr>
        <w:t>，响应供应商应以书面方式予以回复确认。因响应供应商登记原因或</w:t>
      </w:r>
      <w:r>
        <w:rPr>
          <w:rFonts w:hint="eastAsia" w:ascii="宋体" w:hAnsi="宋体"/>
          <w:sz w:val="24"/>
        </w:rPr>
        <w:t>其它任何意外情形，</w:t>
      </w:r>
      <w:r>
        <w:rPr>
          <w:rFonts w:hint="eastAsia"/>
          <w:sz w:val="24"/>
        </w:rPr>
        <w:t>导致</w:t>
      </w:r>
      <w:r>
        <w:rPr>
          <w:rFonts w:hint="eastAsia" w:ascii="宋体" w:hAnsi="宋体"/>
          <w:sz w:val="24"/>
        </w:rPr>
        <w:t>所发出的</w:t>
      </w:r>
      <w:r>
        <w:rPr>
          <w:rFonts w:hint="eastAsia"/>
          <w:sz w:val="24"/>
        </w:rPr>
        <w:t>通知延迟送达或无法送达响应供应商，</w:t>
      </w:r>
      <w:r>
        <w:rPr>
          <w:rFonts w:hint="eastAsia" w:ascii="宋体" w:hAnsi="宋体"/>
          <w:sz w:val="24"/>
        </w:rPr>
        <w:t>采购代理机构</w:t>
      </w:r>
      <w:r>
        <w:rPr>
          <w:rFonts w:hint="eastAsia"/>
          <w:sz w:val="24"/>
        </w:rPr>
        <w:t>不承担责任。</w:t>
      </w:r>
    </w:p>
    <w:p>
      <w:pPr>
        <w:spacing w:line="360" w:lineRule="auto"/>
        <w:jc w:val="left"/>
        <w:rPr>
          <w:b/>
          <w:sz w:val="24"/>
        </w:rPr>
      </w:pPr>
      <w:bookmarkStart w:id="455" w:name="_Toc82445235"/>
      <w:bookmarkStart w:id="456" w:name="_Toc414510777"/>
      <w:bookmarkStart w:id="457" w:name="_Toc496045524"/>
      <w:bookmarkStart w:id="458" w:name="_Toc435629835"/>
      <w:bookmarkStart w:id="459" w:name="_Toc487101002"/>
      <w:bookmarkStart w:id="460" w:name="_Toc55671077"/>
      <w:bookmarkStart w:id="461" w:name="_Toc78274950"/>
      <w:bookmarkStart w:id="462" w:name="_Toc298190381"/>
      <w:bookmarkStart w:id="463" w:name="_Toc488422443"/>
      <w:bookmarkStart w:id="464" w:name="_Toc78444594"/>
      <w:bookmarkStart w:id="465" w:name="_Toc435686977"/>
      <w:bookmarkStart w:id="466" w:name="_Toc445809737"/>
      <w:bookmarkStart w:id="467" w:name="_Toc496096018"/>
      <w:bookmarkStart w:id="468" w:name="_Toc438641462"/>
      <w:bookmarkStart w:id="469" w:name="_Toc489974538"/>
      <w:bookmarkStart w:id="470" w:name="_Toc297209416"/>
      <w:bookmarkStart w:id="471" w:name="_Toc468456994"/>
      <w:bookmarkStart w:id="472" w:name="_Toc55745642"/>
      <w:bookmarkStart w:id="473" w:name="_Toc498265665"/>
      <w:bookmarkStart w:id="474" w:name="_Toc49135196"/>
      <w:bookmarkStart w:id="475" w:name="_Toc91288834"/>
      <w:bookmarkStart w:id="476" w:name="_Toc435687346"/>
      <w:bookmarkStart w:id="477" w:name="_Toc504062510"/>
      <w:bookmarkStart w:id="478" w:name="_Toc496123812"/>
      <w:bookmarkStart w:id="479" w:name="_Toc365033703"/>
      <w:bookmarkStart w:id="480" w:name="_Toc439513158"/>
      <w:bookmarkStart w:id="481" w:name="_Toc298829958"/>
      <w:bookmarkStart w:id="482" w:name="_Toc80869723"/>
      <w:bookmarkStart w:id="483" w:name="_Toc350417821"/>
      <w:bookmarkStart w:id="484" w:name="_Toc504741242"/>
      <w:bookmarkStart w:id="485" w:name="_Toc422161989"/>
      <w:bookmarkStart w:id="486" w:name="_Toc482255067"/>
      <w:bookmarkStart w:id="487" w:name="_Toc477807575"/>
      <w:bookmarkStart w:id="488" w:name="_Toc49082410"/>
      <w:bookmarkStart w:id="489" w:name="_Toc77781848"/>
      <w:bookmarkStart w:id="490" w:name="_Toc482195755"/>
      <w:bookmarkStart w:id="491" w:name="_Toc498978620"/>
      <w:bookmarkStart w:id="492" w:name="_Toc438508594"/>
      <w:bookmarkStart w:id="493" w:name="_Toc416208483"/>
      <w:bookmarkStart w:id="494" w:name="_Toc298920089"/>
      <w:bookmarkStart w:id="495" w:name="_Toc504122246"/>
      <w:bookmarkStart w:id="496" w:name="_Toc438513731"/>
      <w:bookmarkStart w:id="497" w:name="_Toc479343964"/>
      <w:bookmarkStart w:id="498" w:name="_Toc446661214"/>
      <w:bookmarkStart w:id="499" w:name="_Toc435629789"/>
      <w:bookmarkStart w:id="500" w:name="_Toc11921987"/>
      <w:bookmarkStart w:id="501" w:name="_Toc24471616"/>
      <w:bookmarkStart w:id="502" w:name="_Toc490033945"/>
      <w:bookmarkStart w:id="503" w:name="_Toc468450943"/>
      <w:bookmarkStart w:id="504" w:name="_Toc299108387"/>
      <w:bookmarkStart w:id="505" w:name="_Toc475805890"/>
      <w:bookmarkStart w:id="506" w:name="_Toc383124045"/>
      <w:bookmarkStart w:id="507" w:name="_Toc482365827"/>
      <w:bookmarkStart w:id="508" w:name="_Toc488321013"/>
      <w:bookmarkStart w:id="509" w:name="_Toc438722127"/>
      <w:bookmarkStart w:id="510" w:name="_Toc90148892"/>
      <w:bookmarkStart w:id="511" w:name="_Toc82692161"/>
      <w:bookmarkStart w:id="512" w:name="_Toc356489050"/>
      <w:bookmarkStart w:id="513" w:name="_Toc66020751"/>
      <w:bookmarkStart w:id="514" w:name="_Toc477691924"/>
      <w:bookmarkStart w:id="515" w:name="_Toc498079510"/>
      <w:bookmarkStart w:id="516" w:name="_Toc489892959"/>
      <w:bookmarkStart w:id="517" w:name="_Toc439513442"/>
      <w:bookmarkStart w:id="518" w:name="_Toc298829717"/>
      <w:bookmarkStart w:id="519" w:name="_Toc503169232"/>
      <w:bookmarkStart w:id="520" w:name="_Toc422865418"/>
      <w:bookmarkStart w:id="521" w:name="_Toc499278244"/>
      <w:bookmarkStart w:id="522" w:name="_Toc71878579"/>
      <w:bookmarkStart w:id="523" w:name="_Toc515971185"/>
      <w:bookmarkStart w:id="524" w:name="_Toc364846097"/>
      <w:bookmarkStart w:id="525" w:name="_Toc380533807"/>
      <w:bookmarkStart w:id="526" w:name="_Toc425347659"/>
      <w:bookmarkStart w:id="527" w:name="_Toc514163552"/>
      <w:bookmarkStart w:id="528" w:name="_Toc447233580"/>
      <w:bookmarkStart w:id="529" w:name="_Toc65680699"/>
      <w:bookmarkStart w:id="530" w:name="_Toc418023330"/>
      <w:bookmarkStart w:id="531" w:name="_Toc9884"/>
      <w:bookmarkStart w:id="532" w:name="_Toc51416498"/>
      <w:bookmarkStart w:id="533" w:name="_Toc435687272"/>
      <w:bookmarkStart w:id="534" w:name="_Toc14542"/>
      <w:bookmarkStart w:id="535" w:name="_Toc51416821"/>
      <w:bookmarkStart w:id="536" w:name="_Toc343857023"/>
      <w:bookmarkStart w:id="537" w:name="_Toc75028759"/>
      <w:bookmarkStart w:id="538" w:name="_Toc55911456"/>
      <w:bookmarkStart w:id="539" w:name="_Toc69828212"/>
      <w:bookmarkStart w:id="540" w:name="_Toc51778259"/>
      <w:bookmarkStart w:id="541" w:name="_Toc475804833"/>
      <w:bookmarkStart w:id="542" w:name="_Toc439679265"/>
      <w:bookmarkStart w:id="543" w:name="_Toc30981"/>
      <w:bookmarkStart w:id="544" w:name="_Toc447099503"/>
      <w:bookmarkStart w:id="545" w:name="_Toc513652300"/>
      <w:bookmarkStart w:id="546" w:name="_Toc435623751"/>
      <w:r>
        <w:rPr>
          <w:rFonts w:hint="eastAsia"/>
          <w:b/>
          <w:sz w:val="24"/>
        </w:rPr>
        <w:t>二、磋商文件</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spacing w:line="360" w:lineRule="auto"/>
        <w:ind w:firstLine="482" w:firstLineChars="200"/>
        <w:rPr>
          <w:rFonts w:ascii="宋体" w:hAnsi="宋体"/>
          <w:b/>
          <w:sz w:val="24"/>
        </w:rPr>
      </w:pPr>
      <w:bookmarkStart w:id="547" w:name="_Toc91288836"/>
      <w:bookmarkStart w:id="548" w:name="_Toc90148894"/>
      <w:r>
        <w:rPr>
          <w:rFonts w:hint="eastAsia" w:ascii="宋体" w:hAnsi="宋体"/>
          <w:b/>
          <w:sz w:val="24"/>
        </w:rPr>
        <w:t>1.磋商文件的澄清或修改</w:t>
      </w:r>
      <w:bookmarkEnd w:id="547"/>
      <w:bookmarkEnd w:id="548"/>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无论出于何种原因，采购代理机构主动地或在解答响应供应商提出的疑问时对已发出的磋商文件进行必要的澄清或修改（更正）的，将于响应截止时间前在指定媒体上发布公告，并通知所有报名及购买磋商文件的响应供应商，报名及购买磋商文件的响应供应商在收到澄清或修改（更正）通知后应按要求以书面形式（或邮件形式）予以确认，如在24小时之内无书面回函则视为同意修改内容，并有责任履行相应的义务。</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w:t>
      </w:r>
      <w:r>
        <w:rPr>
          <w:rFonts w:ascii="宋体" w:hAnsi="宋体"/>
          <w:sz w:val="24"/>
        </w:rPr>
        <w:t>响应供应商认为</w:t>
      </w:r>
      <w:r>
        <w:rPr>
          <w:rFonts w:hint="eastAsia" w:ascii="宋体" w:hAnsi="宋体"/>
          <w:sz w:val="24"/>
        </w:rPr>
        <w:t>磋商文件、采购</w:t>
      </w:r>
      <w:r>
        <w:rPr>
          <w:rFonts w:ascii="宋体" w:hAnsi="宋体"/>
          <w:sz w:val="24"/>
        </w:rPr>
        <w:t>过程和</w:t>
      </w:r>
      <w:r>
        <w:rPr>
          <w:rFonts w:hint="eastAsia" w:ascii="宋体" w:hAnsi="宋体"/>
          <w:sz w:val="24"/>
        </w:rPr>
        <w:t>成交</w:t>
      </w:r>
      <w:r>
        <w:rPr>
          <w:rFonts w:ascii="宋体" w:hAnsi="宋体"/>
          <w:sz w:val="24"/>
        </w:rPr>
        <w:t>结果使自己的权益受到损害的，可以在知道或者应知其权益受到损害之日起7个工作日内，</w:t>
      </w:r>
      <w:r>
        <w:rPr>
          <w:rFonts w:hint="eastAsia" w:ascii="宋体" w:hAnsi="宋体"/>
          <w:sz w:val="24"/>
        </w:rPr>
        <w:t>携带符合要求的纸质版质疑函及相关授权书和有效证件，当面</w:t>
      </w:r>
      <w:r>
        <w:rPr>
          <w:rFonts w:ascii="宋体" w:hAnsi="宋体"/>
          <w:sz w:val="24"/>
        </w:rPr>
        <w:t>向采购人或</w:t>
      </w:r>
      <w:r>
        <w:rPr>
          <w:rFonts w:hint="eastAsia" w:ascii="宋体" w:hAnsi="宋体"/>
          <w:sz w:val="24"/>
        </w:rPr>
        <w:t>采购代理机构一次性提出针对同一采购程序环节的质疑</w:t>
      </w:r>
      <w:r>
        <w:rPr>
          <w:rFonts w:ascii="宋体" w:hAnsi="宋体"/>
          <w:sz w:val="24"/>
        </w:rPr>
        <w:t>，逾期质疑无效</w:t>
      </w:r>
      <w:r>
        <w:rPr>
          <w:rFonts w:hint="eastAsia" w:ascii="宋体" w:hAnsi="宋体"/>
          <w:sz w:val="24"/>
        </w:rPr>
        <w:t>。</w:t>
      </w:r>
      <w:r>
        <w:rPr>
          <w:rFonts w:ascii="宋体" w:hAnsi="宋体"/>
          <w:sz w:val="24"/>
        </w:rPr>
        <w:t>若所携带资料信息有误</w:t>
      </w:r>
      <w:r>
        <w:rPr>
          <w:rFonts w:hint="eastAsia" w:ascii="宋体" w:hAnsi="宋体"/>
          <w:sz w:val="24"/>
        </w:rPr>
        <w:t>，采购人</w:t>
      </w:r>
      <w:r>
        <w:rPr>
          <w:rFonts w:ascii="宋体" w:hAnsi="宋体"/>
          <w:sz w:val="24"/>
        </w:rPr>
        <w:t>或</w:t>
      </w:r>
      <w:r>
        <w:rPr>
          <w:rFonts w:hint="eastAsia" w:ascii="宋体" w:hAnsi="宋体"/>
          <w:sz w:val="24"/>
        </w:rPr>
        <w:t>采购代理机构</w:t>
      </w:r>
      <w:r>
        <w:rPr>
          <w:rFonts w:ascii="宋体" w:hAnsi="宋体"/>
          <w:sz w:val="24"/>
        </w:rPr>
        <w:t>有权拒收。</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1.3质疑材料应当包括下列内容：（1）纸质版质疑函一份，质疑函应包括：响应供应商名称、地址、邮编、联系人及联系电话、质疑项目的名称和项目编号（若对项目的某一分包进行质疑，应列明具体的包组号）、具体、明确的质疑事项和与质疑事项相关的请求、事实依据、相关确凿的证明材料、授权代表姓名及其联系电话、提出质疑的日期，质疑函应当署名。（2）响应供应商提交质疑函时需提供质疑函原件、法定代表人证明书和法定代表人授权委托书（应载明委托代理的具体权限及事项）及授权代表身份证复印件，所有提交的资料均需加盖公章。未在规定的时间内提出质疑的则视为响应供应商已充分认识和理解了任何与本项目有关的影响事项和困难、风险等情况，并愿意按照本磋商文件的所有条款执行。（3）对于捏造事实、滥用维权扰乱招标采购秩序的恶意质疑者或举证不全查无实据被驳回次数在一年内达三次以上，将纳入不良行为记录名单并承担相应的法律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1.4对于响应供应商的书面询问资料，常规在收到的3个工作日内进行答复，具体以采购代理机构答复为准。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2.询问、质疑受理单位：粤廉（广东）招标代理有限公司，联系电话：（020）</w:t>
      </w:r>
      <w:r>
        <w:rPr>
          <w:rFonts w:ascii="宋体" w:cs="Tahoma"/>
          <w:bCs/>
          <w:sz w:val="24"/>
        </w:rPr>
        <w:t>37889367</w:t>
      </w:r>
      <w:r>
        <w:rPr>
          <w:rFonts w:hint="eastAsia" w:ascii="宋体" w:hAnsi="宋体"/>
          <w:sz w:val="24"/>
        </w:rPr>
        <w:t>。</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响应供应商在规定的时间内未对磋商文件提出疑问或需澄清的内容，代理机构将视其为无异议。对磋商文件中描述有歧义或前后不一致的地方，磋商小组有权进行评判，但对同一条款的评判应适用于每个响应供应商。</w:t>
      </w:r>
    </w:p>
    <w:p>
      <w:pPr>
        <w:spacing w:line="360" w:lineRule="auto"/>
        <w:jc w:val="left"/>
        <w:rPr>
          <w:b/>
          <w:sz w:val="24"/>
        </w:rPr>
      </w:pPr>
      <w:bookmarkStart w:id="549" w:name="_Toc489892960"/>
      <w:bookmarkStart w:id="550" w:name="_Toc11921988"/>
      <w:bookmarkStart w:id="551" w:name="_Toc446661215"/>
      <w:bookmarkStart w:id="552" w:name="_Toc504741243"/>
      <w:bookmarkStart w:id="553" w:name="_Toc499278245"/>
      <w:bookmarkStart w:id="554" w:name="_Toc350417822"/>
      <w:bookmarkStart w:id="555" w:name="_Toc82692162"/>
      <w:bookmarkStart w:id="556" w:name="_Toc435623752"/>
      <w:bookmarkStart w:id="557" w:name="_Toc438513732"/>
      <w:bookmarkStart w:id="558" w:name="_Toc32471"/>
      <w:bookmarkStart w:id="559" w:name="_Toc343857024"/>
      <w:bookmarkStart w:id="560" w:name="_Toc414510778"/>
      <w:bookmarkStart w:id="561" w:name="_Toc298920090"/>
      <w:bookmarkStart w:id="562" w:name="_Toc445809738"/>
      <w:bookmarkStart w:id="563" w:name="_Toc418023331"/>
      <w:bookmarkStart w:id="564" w:name="_Toc75028760"/>
      <w:bookmarkStart w:id="565" w:name="_Toc490033946"/>
      <w:bookmarkStart w:id="566" w:name="_Toc438722128"/>
      <w:bookmarkStart w:id="567" w:name="_Toc21875"/>
      <w:bookmarkStart w:id="568" w:name="_Toc468456995"/>
      <w:bookmarkStart w:id="569" w:name="_Toc69828213"/>
      <w:bookmarkStart w:id="570" w:name="_Toc299108388"/>
      <w:bookmarkStart w:id="571" w:name="_Toc51416822"/>
      <w:bookmarkStart w:id="572" w:name="_Toc24471617"/>
      <w:bookmarkStart w:id="573" w:name="_Toc78274951"/>
      <w:bookmarkStart w:id="574" w:name="_Toc71878580"/>
      <w:bookmarkStart w:id="575" w:name="_Toc77781849"/>
      <w:bookmarkStart w:id="576" w:name="_Toc482255068"/>
      <w:bookmarkStart w:id="577" w:name="_Toc475805891"/>
      <w:bookmarkStart w:id="578" w:name="_Toc477807576"/>
      <w:bookmarkStart w:id="579" w:name="_Toc438641463"/>
      <w:bookmarkStart w:id="580" w:name="_Toc447099504"/>
      <w:bookmarkStart w:id="581" w:name="_Toc380533808"/>
      <w:bookmarkStart w:id="582" w:name="_Toc479343965"/>
      <w:bookmarkStart w:id="583" w:name="_Toc66020752"/>
      <w:bookmarkStart w:id="584" w:name="_Toc416208484"/>
      <w:bookmarkStart w:id="585" w:name="_Toc496096019"/>
      <w:bookmarkStart w:id="586" w:name="_Toc435629836"/>
      <w:bookmarkStart w:id="587" w:name="_Toc496123813"/>
      <w:bookmarkStart w:id="588" w:name="_Toc475804834"/>
      <w:bookmarkStart w:id="589" w:name="_Toc298829959"/>
      <w:bookmarkStart w:id="590" w:name="_Toc489974539"/>
      <w:bookmarkStart w:id="591" w:name="_Toc513652301"/>
      <w:bookmarkStart w:id="592" w:name="_Toc439513443"/>
      <w:bookmarkStart w:id="593" w:name="_Toc80869724"/>
      <w:bookmarkStart w:id="594" w:name="_Toc435687273"/>
      <w:bookmarkStart w:id="595" w:name="_Toc78444595"/>
      <w:bookmarkStart w:id="596" w:name="_Toc498079511"/>
      <w:bookmarkStart w:id="597" w:name="_Toc488422444"/>
      <w:bookmarkStart w:id="598" w:name="_Toc439679266"/>
      <w:bookmarkStart w:id="599" w:name="_Toc482365828"/>
      <w:bookmarkStart w:id="600" w:name="_Toc298190382"/>
      <w:bookmarkStart w:id="601" w:name="_Toc487101003"/>
      <w:bookmarkStart w:id="602" w:name="_Toc356489051"/>
      <w:bookmarkStart w:id="603" w:name="_Toc90148896"/>
      <w:bookmarkStart w:id="604" w:name="_Toc65680700"/>
      <w:bookmarkStart w:id="605" w:name="_Toc439513159"/>
      <w:bookmarkStart w:id="606" w:name="_Toc496045525"/>
      <w:bookmarkStart w:id="607" w:name="_Toc55911457"/>
      <w:bookmarkStart w:id="608" w:name="_Toc383124046"/>
      <w:bookmarkStart w:id="609" w:name="_Toc488321014"/>
      <w:bookmarkStart w:id="610" w:name="_Toc297209417"/>
      <w:bookmarkStart w:id="611" w:name="_Toc515971186"/>
      <w:bookmarkStart w:id="612" w:name="_Toc504062511"/>
      <w:bookmarkStart w:id="613" w:name="_Toc55745643"/>
      <w:bookmarkStart w:id="614" w:name="_Toc447233581"/>
      <w:bookmarkStart w:id="615" w:name="_Toc51416499"/>
      <w:bookmarkStart w:id="616" w:name="_Toc82445236"/>
      <w:bookmarkStart w:id="617" w:name="_Toc468450944"/>
      <w:bookmarkStart w:id="618" w:name="_Toc435686978"/>
      <w:bookmarkStart w:id="619" w:name="_Toc422865419"/>
      <w:bookmarkStart w:id="620" w:name="_Toc435687347"/>
      <w:bookmarkStart w:id="621" w:name="_Toc55671078"/>
      <w:bookmarkStart w:id="622" w:name="_Toc498265666"/>
      <w:bookmarkStart w:id="623" w:name="_Toc422161990"/>
      <w:bookmarkStart w:id="624" w:name="_Toc477691925"/>
      <w:bookmarkStart w:id="625" w:name="_Toc504122247"/>
      <w:bookmarkStart w:id="626" w:name="_Toc514163553"/>
      <w:bookmarkStart w:id="627" w:name="_Toc425347660"/>
      <w:bookmarkStart w:id="628" w:name="_Toc91288838"/>
      <w:bookmarkStart w:id="629" w:name="_Toc364846098"/>
      <w:bookmarkStart w:id="630" w:name="_Toc438508595"/>
      <w:bookmarkStart w:id="631" w:name="_Toc51778260"/>
      <w:bookmarkStart w:id="632" w:name="_Toc482195756"/>
      <w:bookmarkStart w:id="633" w:name="_Toc435629790"/>
      <w:bookmarkStart w:id="634" w:name="_Toc298829718"/>
      <w:bookmarkStart w:id="635" w:name="_Toc498978621"/>
      <w:bookmarkStart w:id="636" w:name="_Toc5584"/>
      <w:bookmarkStart w:id="637" w:name="_Toc503169233"/>
      <w:bookmarkStart w:id="638" w:name="_Toc365033704"/>
      <w:bookmarkStart w:id="639" w:name="_Toc49135197"/>
      <w:bookmarkStart w:id="640" w:name="_Toc49082411"/>
      <w:r>
        <w:rPr>
          <w:rFonts w:hint="eastAsia"/>
          <w:b/>
          <w:sz w:val="24"/>
        </w:rPr>
        <w:t>三、响应文件</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360" w:lineRule="auto"/>
        <w:ind w:firstLine="482" w:firstLineChars="200"/>
        <w:rPr>
          <w:rFonts w:ascii="宋体" w:hAnsi="宋体"/>
          <w:b/>
          <w:sz w:val="24"/>
        </w:rPr>
      </w:pPr>
      <w:bookmarkStart w:id="641" w:name="_Toc90148897"/>
      <w:bookmarkStart w:id="642" w:name="_Toc91288839"/>
      <w:r>
        <w:rPr>
          <w:rFonts w:hint="eastAsia" w:ascii="宋体" w:hAnsi="宋体"/>
          <w:b/>
          <w:sz w:val="24"/>
        </w:rPr>
        <w:t>1.响应文件的组成</w:t>
      </w:r>
      <w:bookmarkEnd w:id="641"/>
      <w:bookmarkEnd w:id="642"/>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响应供应商必须编制完整的响应文件，按顺序编制目录及页码并装订成册，内容较多时可以分册装订。各册独立装订的响应文件封面必须加盖响应供应商单位法定公章，除本磋商文件规定的必须盖章的文件格式外，响应文件还应骑缝加盖响应供应商单位法定公章或逐页加盖响应供应商单位法定公章。响应供应商代表可由法定代表人或其委托代理人担任。由委托授权人签署的响应文件中，须同时提交由法定代表人签署的有效的授权委托书。</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1.2响应供应商必须自行承担因其响应文件的任何错漏而导致的一切后果。</w:t>
      </w:r>
    </w:p>
    <w:p>
      <w:pPr>
        <w:spacing w:line="360" w:lineRule="auto"/>
        <w:ind w:firstLine="482" w:firstLineChars="200"/>
        <w:rPr>
          <w:rFonts w:ascii="宋体" w:hAnsi="宋体"/>
          <w:b/>
          <w:sz w:val="24"/>
        </w:rPr>
      </w:pPr>
      <w:bookmarkStart w:id="643" w:name="_Toc90148898"/>
      <w:bookmarkStart w:id="644" w:name="_Toc91288840"/>
      <w:r>
        <w:rPr>
          <w:rFonts w:hint="eastAsia" w:ascii="宋体" w:hAnsi="宋体"/>
          <w:b/>
          <w:sz w:val="24"/>
        </w:rPr>
        <w:t>2.响应文件的编写</w:t>
      </w:r>
      <w:bookmarkEnd w:id="643"/>
      <w:bookmarkEnd w:id="644"/>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响应供应商应按磋商文件的要求制作并递交响应文件，保证所提供的全部资料的真实性、准确性。响应供应商在响应文件中提供不真实的材料，无论其材料是否重要，都将直接导致响应文件无效，并承担由此产生的法律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响应语言和计量单位。响应供应商提交的响应文件以及响应供应商与采购代理机构就有关响应的所有来往函电均应使用中文书写。响应供应商提交的支持资料和已印刷的文献可以用另一种语言，但相应内容应附有中文翻译本，以中文翻译本为准。对中文翻译有异议的，以权威机构的译本为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2.3响应供应商应按《报价一览表》的要求和格式内容进行报价，不得随意篡改格式。</w:t>
      </w:r>
    </w:p>
    <w:p>
      <w:pPr>
        <w:spacing w:line="360" w:lineRule="auto"/>
        <w:ind w:firstLine="482" w:firstLineChars="200"/>
        <w:rPr>
          <w:rFonts w:ascii="宋体" w:hAnsi="宋体"/>
          <w:b/>
          <w:sz w:val="24"/>
        </w:rPr>
      </w:pPr>
      <w:bookmarkStart w:id="645" w:name="_Toc90148899"/>
      <w:bookmarkStart w:id="646" w:name="_Toc91288841"/>
      <w:r>
        <w:rPr>
          <w:rFonts w:hint="eastAsia" w:ascii="宋体" w:hAnsi="宋体"/>
          <w:b/>
          <w:sz w:val="24"/>
        </w:rPr>
        <w:t>3.响应的修改和撤回</w:t>
      </w:r>
      <w:bookmarkEnd w:id="645"/>
      <w:bookmarkEnd w:id="646"/>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响应供应商在响应截止时间前，可以对所递交的响应文件进行补充、修改或者撤回。补充、修改的内容应当按照磋商文件要求签署、盖章、密封后，书面通知采购人或者采购代理机构，响应截止后不得修改和撤回其响应文件。</w:t>
      </w:r>
    </w:p>
    <w:p>
      <w:pPr>
        <w:spacing w:line="360" w:lineRule="auto"/>
        <w:jc w:val="left"/>
        <w:rPr>
          <w:b/>
          <w:sz w:val="24"/>
        </w:rPr>
      </w:pPr>
      <w:bookmarkStart w:id="647" w:name="_Toc438722129"/>
      <w:bookmarkStart w:id="648" w:name="_Toc439513160"/>
      <w:bookmarkStart w:id="649" w:name="_Toc418023332"/>
      <w:bookmarkStart w:id="650" w:name="_Toc435686979"/>
      <w:bookmarkStart w:id="651" w:name="_Toc447233582"/>
      <w:bookmarkStart w:id="652" w:name="_Toc298920091"/>
      <w:bookmarkStart w:id="653" w:name="_Toc350417823"/>
      <w:bookmarkStart w:id="654" w:name="_Toc422865420"/>
      <w:bookmarkStart w:id="655" w:name="_Toc438641464"/>
      <w:bookmarkStart w:id="656" w:name="_Toc447099505"/>
      <w:bookmarkStart w:id="657" w:name="_Toc439679267"/>
      <w:bookmarkStart w:id="658" w:name="_Toc380533809"/>
      <w:bookmarkStart w:id="659" w:name="_Toc438513733"/>
      <w:bookmarkStart w:id="660" w:name="_Toc383124047"/>
      <w:bookmarkStart w:id="661" w:name="_Toc365033705"/>
      <w:bookmarkStart w:id="662" w:name="_Toc446661216"/>
      <w:bookmarkStart w:id="663" w:name="_Toc435623753"/>
      <w:bookmarkStart w:id="664" w:name="_Toc439513444"/>
      <w:bookmarkStart w:id="665" w:name="_Toc445809739"/>
      <w:bookmarkStart w:id="666" w:name="_Toc364846099"/>
      <w:bookmarkStart w:id="667" w:name="_Toc435687274"/>
      <w:bookmarkStart w:id="668" w:name="_Toc422161991"/>
      <w:bookmarkStart w:id="669" w:name="_Toc416208485"/>
      <w:bookmarkStart w:id="670" w:name="_Toc343857025"/>
      <w:bookmarkStart w:id="671" w:name="_Toc298190383"/>
      <w:bookmarkStart w:id="672" w:name="_Toc298829960"/>
      <w:bookmarkStart w:id="673" w:name="_Toc414510779"/>
      <w:bookmarkStart w:id="674" w:name="_Toc356489052"/>
      <w:bookmarkStart w:id="675" w:name="_Toc435629837"/>
      <w:bookmarkStart w:id="676" w:name="_Toc299108389"/>
      <w:bookmarkStart w:id="677" w:name="_Toc468450945"/>
      <w:bookmarkStart w:id="678" w:name="_Toc297209418"/>
      <w:bookmarkStart w:id="679" w:name="_Toc298829719"/>
      <w:bookmarkStart w:id="680" w:name="_Toc435687348"/>
      <w:bookmarkStart w:id="681" w:name="_Toc438508596"/>
      <w:bookmarkStart w:id="682" w:name="_Toc468456996"/>
      <w:bookmarkStart w:id="683" w:name="_Toc435629791"/>
      <w:bookmarkStart w:id="684" w:name="_Toc425347661"/>
      <w:bookmarkStart w:id="685" w:name="_Toc482365829"/>
      <w:bookmarkStart w:id="686" w:name="_Toc482255069"/>
      <w:bookmarkStart w:id="687" w:name="_Toc499278246"/>
      <w:bookmarkStart w:id="688" w:name="_Toc487101004"/>
      <w:bookmarkStart w:id="689" w:name="_Toc82692163"/>
      <w:bookmarkStart w:id="690" w:name="_Toc496096020"/>
      <w:bookmarkStart w:id="691" w:name="_Toc515971187"/>
      <w:bookmarkStart w:id="692" w:name="_Toc77781850"/>
      <w:bookmarkStart w:id="693" w:name="_Toc489974540"/>
      <w:bookmarkStart w:id="694" w:name="_Toc2442"/>
      <w:bookmarkStart w:id="695" w:name="_Toc498265667"/>
      <w:bookmarkStart w:id="696" w:name="_Toc498079512"/>
      <w:bookmarkStart w:id="697" w:name="_Toc513652302"/>
      <w:bookmarkStart w:id="698" w:name="_Toc479343966"/>
      <w:bookmarkStart w:id="699" w:name="_Toc504062512"/>
      <w:bookmarkStart w:id="700" w:name="_Toc23876"/>
      <w:bookmarkStart w:id="701" w:name="_Toc51416823"/>
      <w:bookmarkStart w:id="702" w:name="_Toc11921989"/>
      <w:bookmarkStart w:id="703" w:name="_Toc490033947"/>
      <w:bookmarkStart w:id="704" w:name="_Toc475805892"/>
      <w:bookmarkStart w:id="705" w:name="_Toc55911458"/>
      <w:bookmarkStart w:id="706" w:name="_Toc55745644"/>
      <w:bookmarkStart w:id="707" w:name="_Toc504122248"/>
      <w:bookmarkStart w:id="708" w:name="_Toc80869725"/>
      <w:bookmarkStart w:id="709" w:name="_Toc78444596"/>
      <w:bookmarkStart w:id="710" w:name="_Toc24471618"/>
      <w:bookmarkStart w:id="711" w:name="_Toc477807577"/>
      <w:bookmarkStart w:id="712" w:name="_Toc91288842"/>
      <w:bookmarkStart w:id="713" w:name="_Toc69828214"/>
      <w:bookmarkStart w:id="714" w:name="_Toc21888"/>
      <w:bookmarkStart w:id="715" w:name="_Toc82445237"/>
      <w:bookmarkStart w:id="716" w:name="_Toc477691926"/>
      <w:bookmarkStart w:id="717" w:name="_Toc489892961"/>
      <w:bookmarkStart w:id="718" w:name="_Toc504741244"/>
      <w:bookmarkStart w:id="719" w:name="_Toc488422445"/>
      <w:bookmarkStart w:id="720" w:name="_Toc75028761"/>
      <w:bookmarkStart w:id="721" w:name="_Toc498978622"/>
      <w:bookmarkStart w:id="722" w:name="_Toc51778261"/>
      <w:bookmarkStart w:id="723" w:name="_Toc503169234"/>
      <w:bookmarkStart w:id="724" w:name="_Toc482195757"/>
      <w:bookmarkStart w:id="725" w:name="_Toc488321015"/>
      <w:bookmarkStart w:id="726" w:name="_Toc65680701"/>
      <w:bookmarkStart w:id="727" w:name="_Toc71878581"/>
      <w:bookmarkStart w:id="728" w:name="_Toc51416500"/>
      <w:bookmarkStart w:id="729" w:name="_Toc475804835"/>
      <w:bookmarkStart w:id="730" w:name="_Toc55671079"/>
      <w:bookmarkStart w:id="731" w:name="_Toc496123814"/>
      <w:bookmarkStart w:id="732" w:name="_Toc496045526"/>
      <w:bookmarkStart w:id="733" w:name="_Toc66020753"/>
      <w:bookmarkStart w:id="734" w:name="_Toc90148900"/>
      <w:bookmarkStart w:id="735" w:name="_Toc78274952"/>
      <w:bookmarkStart w:id="736" w:name="_Toc514163554"/>
      <w:r>
        <w:rPr>
          <w:rFonts w:hint="eastAsia"/>
          <w:b/>
          <w:sz w:val="24"/>
        </w:rPr>
        <w:t>四、</w:t>
      </w:r>
      <w:bookmarkEnd w:id="639"/>
      <w:bookmarkEnd w:id="64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hint="eastAsia"/>
          <w:b/>
          <w:sz w:val="24"/>
        </w:rPr>
        <w:t>响应文件的递交</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spacing w:line="360" w:lineRule="auto"/>
        <w:ind w:firstLine="482" w:firstLineChars="200"/>
        <w:rPr>
          <w:rFonts w:ascii="宋体" w:hAnsi="宋体"/>
          <w:b/>
          <w:sz w:val="24"/>
        </w:rPr>
      </w:pPr>
      <w:bookmarkStart w:id="737" w:name="_Toc91288843"/>
      <w:r>
        <w:rPr>
          <w:rFonts w:hint="eastAsia" w:ascii="宋体" w:hAnsi="宋体"/>
          <w:b/>
          <w:sz w:val="24"/>
        </w:rPr>
        <w:t>1.封套信息</w:t>
      </w:r>
      <w:bookmarkEnd w:id="737"/>
    </w:p>
    <w:p>
      <w:r>
        <mc:AlternateContent>
          <mc:Choice Requires="wps">
            <w:drawing>
              <wp:inline distT="0" distB="0" distL="0" distR="0">
                <wp:extent cx="6210300" cy="1952625"/>
                <wp:effectExtent l="8255" t="8255" r="10160" b="14605"/>
                <wp:docPr id="2" name="文本框 4"/>
                <wp:cNvGraphicFramePr/>
                <a:graphic xmlns:a="http://schemas.openxmlformats.org/drawingml/2006/main">
                  <a:graphicData uri="http://schemas.microsoft.com/office/word/2010/wordprocessingShape">
                    <wps:wsp>
                      <wps:cNvSpPr txBox="1"/>
                      <wps:spPr>
                        <a:xfrm>
                          <a:off x="0" y="0"/>
                          <a:ext cx="6210300" cy="19526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360" w:lineRule="auto"/>
                              <w:ind w:firstLine="1781" w:firstLineChars="845"/>
                              <w:jc w:val="right"/>
                              <w:rPr>
                                <w:rFonts w:ascii="宋体" w:hAnsi="宋体"/>
                                <w:b/>
                                <w:szCs w:val="21"/>
                              </w:rPr>
                            </w:pPr>
                            <w:r>
                              <w:rPr>
                                <w:rFonts w:hint="eastAsia" w:ascii="宋体" w:hAnsi="宋体"/>
                                <w:b/>
                                <w:szCs w:val="21"/>
                              </w:rPr>
                              <w:t>正本/副本</w:t>
                            </w:r>
                          </w:p>
                          <w:p>
                            <w:pPr>
                              <w:pStyle w:val="1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项目名称：2023年广东省（阳江）海上大型综合应急演习组织服务采购项目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项目编号：YL202310303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响应供应商名称：</w:t>
                            </w:r>
                          </w:p>
                          <w:p>
                            <w:pPr>
                              <w:spacing w:line="360" w:lineRule="auto"/>
                              <w:ind w:right="508" w:rightChars="242" w:firstLine="424" w:firstLineChars="201"/>
                              <w:rPr>
                                <w:rFonts w:ascii="宋体" w:hAnsi="宋体"/>
                                <w:b/>
                                <w:szCs w:val="21"/>
                              </w:rPr>
                            </w:pPr>
                            <w:r>
                              <w:rPr>
                                <w:rFonts w:hint="eastAsia" w:ascii="宋体" w:hAnsi="宋体"/>
                                <w:b/>
                                <w:szCs w:val="21"/>
                              </w:rPr>
                              <w:t>响应供应商地址：</w:t>
                            </w:r>
                          </w:p>
                          <w:p>
                            <w:pPr>
                              <w:ind w:firstLine="422" w:firstLineChars="200"/>
                              <w:jc w:val="left"/>
                              <w:rPr>
                                <w:b/>
                                <w:szCs w:val="21"/>
                              </w:rPr>
                            </w:pPr>
                            <w:r>
                              <w:rPr>
                                <w:rFonts w:hint="eastAsia"/>
                                <w:b/>
                                <w:szCs w:val="21"/>
                              </w:rPr>
                              <w:t>在规定</w:t>
                            </w:r>
                            <w:r>
                              <w:rPr>
                                <w:rFonts w:hint="eastAsia"/>
                                <w:b/>
                                <w:szCs w:val="21"/>
                                <w:u w:val="single"/>
                              </w:rPr>
                              <w:t xml:space="preserve">  响应文件提交截止时间   </w:t>
                            </w:r>
                            <w:r>
                              <w:rPr>
                                <w:rFonts w:hint="eastAsia"/>
                                <w:b/>
                                <w:szCs w:val="21"/>
                              </w:rPr>
                              <w:t>之前不得启封</w:t>
                            </w:r>
                          </w:p>
                        </w:txbxContent>
                      </wps:txbx>
                      <wps:bodyPr upright="1"/>
                    </wps:wsp>
                  </a:graphicData>
                </a:graphic>
              </wp:inline>
            </w:drawing>
          </mc:Choice>
          <mc:Fallback>
            <w:pict>
              <v:shape id="文本框 4" o:spid="_x0000_s1026" o:spt="202" type="#_x0000_t202" style="height:153.75pt;width:489pt;" fillcolor="#FFFFFF" filled="t" stroked="t" coordsize="21600,21600" o:gfxdata="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mXok1AAAAAUBAAAPAAAAAAAAAAEAIAAAACIA&#10;AABkcnMvZG93bnJldi54bWxQSwECFAAUAAAACACHTuJAGj12FkYCAAC/BAAADgAAAAAAAAABACAA&#10;AAAjAQAAZHJzL2Uyb0RvYy54bWxQSwUGAAAAAAYABgBZAQAA2wU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ind w:firstLine="1781" w:firstLineChars="845"/>
                        <w:jc w:val="right"/>
                        <w:rPr>
                          <w:rFonts w:ascii="宋体" w:hAnsi="宋体"/>
                          <w:b/>
                          <w:szCs w:val="21"/>
                        </w:rPr>
                      </w:pPr>
                      <w:r>
                        <w:rPr>
                          <w:rFonts w:hint="eastAsia" w:ascii="宋体" w:hAnsi="宋体"/>
                          <w:b/>
                          <w:szCs w:val="21"/>
                        </w:rPr>
                        <w:t>正本/副本</w:t>
                      </w:r>
                    </w:p>
                    <w:p>
                      <w:pPr>
                        <w:pStyle w:val="1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项目名称：2023年广东省（阳江）海上大型综合应急演习组织服务采购项目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项目编号：YL202310303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响应供应商名称：</w:t>
                      </w:r>
                    </w:p>
                    <w:p>
                      <w:pPr>
                        <w:spacing w:line="360" w:lineRule="auto"/>
                        <w:ind w:right="508" w:rightChars="242" w:firstLine="424" w:firstLineChars="201"/>
                        <w:rPr>
                          <w:rFonts w:ascii="宋体" w:hAnsi="宋体"/>
                          <w:b/>
                          <w:szCs w:val="21"/>
                        </w:rPr>
                      </w:pPr>
                      <w:r>
                        <w:rPr>
                          <w:rFonts w:hint="eastAsia" w:ascii="宋体" w:hAnsi="宋体"/>
                          <w:b/>
                          <w:szCs w:val="21"/>
                        </w:rPr>
                        <w:t>响应供应商地址：</w:t>
                      </w:r>
                    </w:p>
                    <w:p>
                      <w:pPr>
                        <w:ind w:firstLine="422" w:firstLineChars="200"/>
                        <w:jc w:val="left"/>
                        <w:rPr>
                          <w:b/>
                          <w:szCs w:val="21"/>
                        </w:rPr>
                      </w:pPr>
                      <w:r>
                        <w:rPr>
                          <w:rFonts w:hint="eastAsia"/>
                          <w:b/>
                          <w:szCs w:val="21"/>
                        </w:rPr>
                        <w:t>在规定</w:t>
                      </w:r>
                      <w:r>
                        <w:rPr>
                          <w:rFonts w:hint="eastAsia"/>
                          <w:b/>
                          <w:szCs w:val="21"/>
                          <w:u w:val="single"/>
                        </w:rPr>
                        <w:t xml:space="preserve">  响应文件提交截止时间   </w:t>
                      </w:r>
                      <w:r>
                        <w:rPr>
                          <w:rFonts w:hint="eastAsia"/>
                          <w:b/>
                          <w:szCs w:val="21"/>
                        </w:rPr>
                        <w:t>之前不得启封</w:t>
                      </w:r>
                    </w:p>
                  </w:txbxContent>
                </v:textbox>
                <w10:wrap type="none"/>
                <w10:anchorlock/>
              </v:shape>
            </w:pict>
          </mc:Fallback>
        </mc:AlternateContent>
      </w:r>
    </w:p>
    <w:p>
      <w:pPr>
        <w:spacing w:line="360" w:lineRule="auto"/>
        <w:ind w:firstLine="482" w:firstLineChars="200"/>
        <w:rPr>
          <w:rFonts w:ascii="宋体" w:hAnsi="宋体"/>
          <w:b/>
          <w:sz w:val="24"/>
        </w:rPr>
      </w:pPr>
      <w:bookmarkStart w:id="738" w:name="_Toc91288844"/>
      <w:bookmarkStart w:id="739" w:name="_Toc90148901"/>
      <w:r>
        <w:rPr>
          <w:rFonts w:hint="eastAsia" w:ascii="宋体" w:hAnsi="宋体"/>
          <w:b/>
          <w:sz w:val="24"/>
        </w:rPr>
        <w:t>2.响应文件的密封</w:t>
      </w:r>
      <w:bookmarkEnd w:id="738"/>
      <w:bookmarkEnd w:id="739"/>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2.1响应文件须严格按照《响应须知前表》要求的份数和密封要求进行密封，如因响应文件搬运导致的外包装破损，但不足以造成响应文件可从外包装内散出而导致响应文件泄密的，视为响应文件密封性完好。</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2.2所有响应文件应在响应截止时间前送达本项目磋商文件指定的开标地点。</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2.3采购代理机构拒绝接收没有密封的响应文件或响应截止时间后递交的响应文件。</w:t>
      </w:r>
    </w:p>
    <w:p>
      <w:pPr>
        <w:spacing w:line="360" w:lineRule="auto"/>
        <w:ind w:firstLine="482" w:firstLineChars="200"/>
        <w:rPr>
          <w:rFonts w:ascii="宋体" w:hAnsi="宋体"/>
          <w:b/>
          <w:sz w:val="24"/>
        </w:rPr>
      </w:pPr>
      <w:bookmarkStart w:id="740" w:name="_Toc91288845"/>
      <w:bookmarkStart w:id="741" w:name="_Toc90148902"/>
      <w:r>
        <w:rPr>
          <w:rFonts w:hint="eastAsia" w:ascii="宋体" w:hAnsi="宋体"/>
          <w:b/>
          <w:sz w:val="24"/>
        </w:rPr>
        <w:t>3.响应文件的递交</w:t>
      </w:r>
      <w:bookmarkEnd w:id="740"/>
    </w:p>
    <w:p>
      <w:pPr>
        <w:tabs>
          <w:tab w:val="left" w:pos="900"/>
        </w:tabs>
        <w:adjustRightInd w:val="0"/>
        <w:snapToGrid w:val="0"/>
        <w:spacing w:line="360" w:lineRule="auto"/>
        <w:ind w:firstLine="480" w:firstLineChars="200"/>
        <w:rPr>
          <w:sz w:val="24"/>
        </w:rPr>
      </w:pPr>
      <w:r>
        <w:rPr>
          <w:rFonts w:hint="eastAsia"/>
          <w:sz w:val="24"/>
        </w:rPr>
        <w:t>响应供应商代表除携带单位授权证明外，还需携带有效的人员身份证明材料（如身份证原件/电子身份证/驾驶证/护照等），经采购代理机构核实通过后方可参加开标会。</w:t>
      </w:r>
    </w:p>
    <w:bookmarkEnd w:id="741"/>
    <w:p>
      <w:pPr>
        <w:spacing w:line="360" w:lineRule="auto"/>
        <w:jc w:val="center"/>
        <w:outlineLvl w:val="0"/>
      </w:pPr>
      <w:r>
        <w:rPr>
          <w:rFonts w:ascii="宋体" w:hAnsi="宋体"/>
          <w:sz w:val="24"/>
        </w:rPr>
        <w:br w:type="page"/>
      </w:r>
      <w:bookmarkStart w:id="742" w:name="_Toc149248245"/>
      <w:bookmarkStart w:id="743" w:name="_Toc410227692"/>
      <w:bookmarkStart w:id="744" w:name="_Toc297209400"/>
      <w:r>
        <w:rPr>
          <w:rFonts w:hint="eastAsia" w:ascii="微软雅黑" w:hAnsi="微软雅黑" w:eastAsia="微软雅黑"/>
          <w:b/>
          <w:sz w:val="28"/>
        </w:rPr>
        <w:t>第五章 开标与评标</w:t>
      </w:r>
      <w:bookmarkEnd w:id="742"/>
      <w:bookmarkEnd w:id="743"/>
    </w:p>
    <w:p>
      <w:pPr>
        <w:spacing w:line="360" w:lineRule="auto"/>
        <w:jc w:val="left"/>
        <w:rPr>
          <w:b/>
          <w:sz w:val="24"/>
        </w:rPr>
      </w:pPr>
      <w:bookmarkStart w:id="745" w:name="_Toc514163576"/>
      <w:bookmarkStart w:id="746" w:name="_Toc75028785"/>
      <w:bookmarkStart w:id="747" w:name="_Toc11922010"/>
      <w:bookmarkStart w:id="748" w:name="_Toc496123832"/>
      <w:bookmarkStart w:id="749" w:name="_Toc496045544"/>
      <w:bookmarkStart w:id="750" w:name="_Toc69828233"/>
      <w:bookmarkStart w:id="751" w:name="_Toc482365847"/>
      <w:bookmarkStart w:id="752" w:name="_Toc25219"/>
      <w:bookmarkStart w:id="753" w:name="_Toc55671113"/>
      <w:bookmarkStart w:id="754" w:name="_Toc515971208"/>
      <w:bookmarkStart w:id="755" w:name="_Toc479343989"/>
      <w:bookmarkStart w:id="756" w:name="_Toc513652324"/>
      <w:bookmarkStart w:id="757" w:name="_Toc504062540"/>
      <w:bookmarkStart w:id="758" w:name="_Toc78274974"/>
      <w:bookmarkStart w:id="759" w:name="_Toc475804837"/>
      <w:bookmarkStart w:id="760" w:name="_Toc487101022"/>
      <w:bookmarkStart w:id="761" w:name="_Toc91288848"/>
      <w:bookmarkStart w:id="762" w:name="_Toc24471639"/>
      <w:bookmarkStart w:id="763" w:name="_Toc503169261"/>
      <w:bookmarkStart w:id="764" w:name="_Toc78444618"/>
      <w:bookmarkStart w:id="765" w:name="_Toc477691928"/>
      <w:bookmarkStart w:id="766" w:name="_Toc496096038"/>
      <w:bookmarkStart w:id="767" w:name="_Toc489892975"/>
      <w:bookmarkStart w:id="768" w:name="_Toc51416858"/>
      <w:bookmarkStart w:id="769" w:name="_Toc51778296"/>
      <w:bookmarkStart w:id="770" w:name="_Toc66020774"/>
      <w:bookmarkStart w:id="771" w:name="_Toc51416535"/>
      <w:bookmarkStart w:id="772" w:name="_Toc498079539"/>
      <w:bookmarkStart w:id="773" w:name="_Toc29014"/>
      <w:bookmarkStart w:id="774" w:name="_Toc477807600"/>
      <w:bookmarkStart w:id="775" w:name="_Toc71878606"/>
      <w:bookmarkStart w:id="776" w:name="_Toc55745679"/>
      <w:bookmarkStart w:id="777" w:name="_Toc498265694"/>
      <w:bookmarkStart w:id="778" w:name="_Toc498978649"/>
      <w:bookmarkStart w:id="779" w:name="_Toc504741272"/>
      <w:bookmarkStart w:id="780" w:name="_Toc504122276"/>
      <w:bookmarkStart w:id="781" w:name="_Toc82692199"/>
      <w:bookmarkStart w:id="782" w:name="_Toc32166"/>
      <w:bookmarkStart w:id="783" w:name="_Toc475805894"/>
      <w:bookmarkStart w:id="784" w:name="_Toc490033960"/>
      <w:bookmarkStart w:id="785" w:name="_Toc55911493"/>
      <w:bookmarkStart w:id="786" w:name="_Toc482255087"/>
      <w:bookmarkStart w:id="787" w:name="_Toc482195775"/>
      <w:bookmarkStart w:id="788" w:name="_Toc488321029"/>
      <w:bookmarkStart w:id="789" w:name="_Toc90148922"/>
      <w:bookmarkStart w:id="790" w:name="_Toc80869747"/>
      <w:bookmarkStart w:id="791" w:name="_Toc82445266"/>
      <w:bookmarkStart w:id="792" w:name="_Toc488422459"/>
      <w:bookmarkStart w:id="793" w:name="_Toc65680724"/>
      <w:bookmarkStart w:id="794" w:name="_Toc499278273"/>
      <w:bookmarkStart w:id="795" w:name="_Toc489974553"/>
      <w:bookmarkStart w:id="796" w:name="_Toc77781874"/>
      <w:r>
        <w:rPr>
          <w:rFonts w:hint="eastAsia"/>
          <w:b/>
          <w:sz w:val="24"/>
        </w:rPr>
        <w:t>一、开标</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tabs>
          <w:tab w:val="left" w:pos="900"/>
        </w:tabs>
        <w:adjustRightInd w:val="0"/>
        <w:snapToGrid w:val="0"/>
        <w:spacing w:line="360" w:lineRule="auto"/>
        <w:ind w:firstLine="480" w:firstLineChars="200"/>
        <w:rPr>
          <w:rFonts w:ascii="宋体" w:hAnsi="宋体"/>
          <w:sz w:val="24"/>
        </w:rPr>
      </w:pPr>
      <w:bookmarkStart w:id="797" w:name="_Toc475805895"/>
      <w:bookmarkStart w:id="798" w:name="_Toc477691929"/>
      <w:bookmarkStart w:id="799" w:name="_Toc475804838"/>
      <w:bookmarkStart w:id="800" w:name="_Toc479343990"/>
      <w:bookmarkStart w:id="801" w:name="_Toc477807601"/>
      <w:r>
        <w:rPr>
          <w:rFonts w:hint="eastAsia" w:ascii="宋体" w:hAnsi="宋体"/>
          <w:sz w:val="24"/>
        </w:rPr>
        <w:t>1.开标由采购人或者采购代理机构主持。磋商小组成员不得参加开标活动。</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2.开标时，按签到顺序的前三名响应供应商授权代表对响应文件的密封情况进行检查；经确认无误后，由采购人或者采购代理机构工作人员当众宣布磋商文件规定的需要宣布的其他内容。</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3.当提交响应文件的响应供应商少于三家时，采购代理机构将宣布本次采购失败，并原封退回收到的任何响应文件，对受影响的响应供应商不承担任何责任。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4.响应供应商代表对开标过程和开标记录有疑义，应当场提出询问或者回避申请。采购人、采购代理机构对响应供应商代表提出的询问或者回避申请应当及时处理。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5.已报名但未参加开标的响应供应商，视同认可开标结果。</w:t>
      </w:r>
    </w:p>
    <w:p>
      <w:pPr>
        <w:spacing w:line="360" w:lineRule="auto"/>
        <w:jc w:val="left"/>
        <w:rPr>
          <w:b/>
          <w:sz w:val="24"/>
        </w:rPr>
      </w:pPr>
      <w:bookmarkStart w:id="802" w:name="_Toc498978650"/>
      <w:bookmarkStart w:id="803" w:name="_Toc80869748"/>
      <w:bookmarkStart w:id="804" w:name="_Toc65680725"/>
      <w:bookmarkStart w:id="805" w:name="_Toc514163577"/>
      <w:bookmarkStart w:id="806" w:name="_Toc504741273"/>
      <w:bookmarkStart w:id="807" w:name="_Toc496045545"/>
      <w:bookmarkStart w:id="808" w:name="_Toc487101023"/>
      <w:bookmarkStart w:id="809" w:name="_Toc51778297"/>
      <w:bookmarkStart w:id="810" w:name="_Toc77781875"/>
      <w:bookmarkStart w:id="811" w:name="_Toc55671114"/>
      <w:bookmarkStart w:id="812" w:name="_Toc482365848"/>
      <w:bookmarkStart w:id="813" w:name="_Toc11922011"/>
      <w:bookmarkStart w:id="814" w:name="_Toc490033961"/>
      <w:bookmarkStart w:id="815" w:name="_Toc75028786"/>
      <w:bookmarkStart w:id="816" w:name="_Toc78274975"/>
      <w:bookmarkStart w:id="817" w:name="_Toc482195776"/>
      <w:bookmarkStart w:id="818" w:name="_Toc23423"/>
      <w:bookmarkStart w:id="819" w:name="_Toc503169262"/>
      <w:bookmarkStart w:id="820" w:name="_Toc51416536"/>
      <w:bookmarkStart w:id="821" w:name="_Toc11873"/>
      <w:bookmarkStart w:id="822" w:name="_Toc71878607"/>
      <w:bookmarkStart w:id="823" w:name="_Toc482255088"/>
      <w:bookmarkStart w:id="824" w:name="_Toc498079540"/>
      <w:bookmarkStart w:id="825" w:name="_Toc496123833"/>
      <w:bookmarkStart w:id="826" w:name="_Toc55745680"/>
      <w:bookmarkStart w:id="827" w:name="_Toc8319"/>
      <w:bookmarkStart w:id="828" w:name="_Toc90148923"/>
      <w:bookmarkStart w:id="829" w:name="_Toc504062541"/>
      <w:bookmarkStart w:id="830" w:name="_Toc488422460"/>
      <w:bookmarkStart w:id="831" w:name="_Toc55911494"/>
      <w:bookmarkStart w:id="832" w:name="_Toc51416859"/>
      <w:bookmarkStart w:id="833" w:name="_Toc499278274"/>
      <w:bookmarkStart w:id="834" w:name="_Toc66020775"/>
      <w:bookmarkStart w:id="835" w:name="_Toc504122277"/>
      <w:bookmarkStart w:id="836" w:name="_Toc91288849"/>
      <w:bookmarkStart w:id="837" w:name="_Toc489892976"/>
      <w:bookmarkStart w:id="838" w:name="_Toc488321030"/>
      <w:bookmarkStart w:id="839" w:name="_Toc82692200"/>
      <w:bookmarkStart w:id="840" w:name="_Toc513652325"/>
      <w:bookmarkStart w:id="841" w:name="_Toc498265695"/>
      <w:bookmarkStart w:id="842" w:name="_Toc78444619"/>
      <w:bookmarkStart w:id="843" w:name="_Toc515971209"/>
      <w:bookmarkStart w:id="844" w:name="_Toc489974554"/>
      <w:bookmarkStart w:id="845" w:name="_Toc69828234"/>
      <w:bookmarkStart w:id="846" w:name="_Toc82445267"/>
      <w:bookmarkStart w:id="847" w:name="_Toc24471640"/>
      <w:bookmarkStart w:id="848" w:name="_Toc496096039"/>
      <w:r>
        <w:rPr>
          <w:rFonts w:hint="eastAsia"/>
          <w:b/>
          <w:sz w:val="24"/>
        </w:rPr>
        <w:t>二、评标</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360" w:lineRule="auto"/>
        <w:ind w:firstLine="482" w:firstLineChars="200"/>
        <w:rPr>
          <w:rFonts w:ascii="宋体" w:hAnsi="宋体"/>
          <w:b/>
          <w:sz w:val="24"/>
        </w:rPr>
      </w:pPr>
      <w:bookmarkStart w:id="849" w:name="_Toc90148924"/>
      <w:bookmarkStart w:id="850" w:name="_Toc91288850"/>
      <w:r>
        <w:rPr>
          <w:rFonts w:hint="eastAsia" w:ascii="宋体" w:hAnsi="宋体"/>
          <w:b/>
          <w:sz w:val="24"/>
        </w:rPr>
        <w:t>（一）评标纪律</w:t>
      </w:r>
      <w:bookmarkEnd w:id="849"/>
      <w:bookmarkEnd w:id="850"/>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磋商小组成员名单在评标结果公告前应当保密。评审专家有下列情形之一的，受到邀请应主动提出回避，采购当事人也可以要求该评审专家回避：参加采购活动前3年内与响应供应商存在劳动关系；参加采购活动前3年内担任响应供应商的董事或监事；参加采购活动前3年内是响应供应商的控股股东或者实际控制人；与响应供应商的法定代表人或者负责人有夫妻、直系血亲、三代以内旁系血亲或者近姻亲关系；与响应供应商有其他可能影响采购活动公平、公正进行的关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2.磋商小组成员和参与评标的有关工作人员不得透露对响应文件的评审内容、成交候选供应商的推荐情况以及与评标有关的其他情况。</w:t>
      </w:r>
    </w:p>
    <w:p>
      <w:pPr>
        <w:spacing w:line="360" w:lineRule="auto"/>
        <w:ind w:firstLine="482" w:firstLineChars="200"/>
        <w:rPr>
          <w:rFonts w:ascii="宋体" w:hAnsi="宋体"/>
          <w:b/>
          <w:sz w:val="24"/>
        </w:rPr>
      </w:pPr>
      <w:bookmarkStart w:id="851" w:name="_Toc91288851"/>
      <w:bookmarkStart w:id="852" w:name="_Toc90148925"/>
      <w:r>
        <w:rPr>
          <w:rFonts w:hint="eastAsia" w:ascii="宋体" w:hAnsi="宋体"/>
          <w:b/>
          <w:sz w:val="24"/>
        </w:rPr>
        <w:t>（二）评标原则</w:t>
      </w:r>
      <w:bookmarkEnd w:id="851"/>
      <w:bookmarkEnd w:id="852"/>
    </w:p>
    <w:p>
      <w:pPr>
        <w:spacing w:line="360" w:lineRule="auto"/>
        <w:ind w:firstLine="480" w:firstLineChars="200"/>
        <w:rPr>
          <w:rFonts w:ascii="宋体" w:hAnsi="宋体"/>
          <w:sz w:val="24"/>
        </w:rPr>
      </w:pPr>
      <w:r>
        <w:rPr>
          <w:rFonts w:hint="eastAsia" w:ascii="宋体" w:hAnsi="宋体"/>
          <w:sz w:val="24"/>
        </w:rPr>
        <w:t>评标工作遵循“公平、公正、科学、择优”的原则。磋商小组有权根据有关规定否决所有响应。</w:t>
      </w:r>
    </w:p>
    <w:p>
      <w:pPr>
        <w:spacing w:line="360" w:lineRule="auto"/>
        <w:ind w:firstLine="482" w:firstLineChars="200"/>
        <w:rPr>
          <w:rFonts w:ascii="宋体" w:hAnsi="宋体"/>
          <w:b/>
          <w:sz w:val="24"/>
        </w:rPr>
      </w:pPr>
      <w:bookmarkStart w:id="853" w:name="_Toc91288852"/>
      <w:bookmarkStart w:id="854" w:name="_Toc90148926"/>
      <w:r>
        <w:rPr>
          <w:rFonts w:hint="eastAsia" w:ascii="宋体" w:hAnsi="宋体"/>
          <w:b/>
          <w:sz w:val="24"/>
        </w:rPr>
        <w:t>（三）评标责任</w:t>
      </w:r>
      <w:bookmarkEnd w:id="853"/>
      <w:bookmarkEnd w:id="854"/>
    </w:p>
    <w:p>
      <w:pPr>
        <w:spacing w:line="360" w:lineRule="auto"/>
        <w:ind w:firstLine="480" w:firstLineChars="200"/>
        <w:rPr>
          <w:rFonts w:ascii="宋体" w:hAnsi="宋体"/>
          <w:sz w:val="24"/>
        </w:rPr>
      </w:pPr>
      <w:r>
        <w:rPr>
          <w:rFonts w:hint="eastAsia" w:ascii="宋体" w:hAnsi="宋体"/>
          <w:sz w:val="24"/>
        </w:rPr>
        <w:t>1.磋商小组负责项目具体评审事务，并独立履行下列职责：审查、评审响应文件是否符合磋商文件的商务、技术等实质性要求；要求响应供应商对响应文件有关事项作出澄清或者说明；对响应文件进行评审；确定成交候选供应商名单；向采购人、采购代理机构或者有关部门报告评标中发现的违法行为。</w:t>
      </w:r>
    </w:p>
    <w:p>
      <w:pPr>
        <w:spacing w:line="360" w:lineRule="auto"/>
        <w:ind w:firstLine="480" w:firstLineChars="200"/>
        <w:rPr>
          <w:rFonts w:ascii="宋体" w:hAnsi="宋体"/>
          <w:sz w:val="24"/>
        </w:rPr>
      </w:pPr>
      <w:r>
        <w:rPr>
          <w:rFonts w:hint="eastAsia" w:ascii="宋体" w:hAnsi="宋体"/>
          <w:sz w:val="24"/>
        </w:rPr>
        <w:t>2.响应文件报价出现前后不一致的，按照下列规定修正：响应文件中报价一览表（报价表）内容与响应文件中相应内容不一致的，以报价一览表（报价表）为准；大写金额和小写金额不一致的，以大写金额为准；单价金额小数点或者百分比有明显错位的，以报价一览表的总价为准，并修改单价；总价金额与按单价汇总金额不一致的，以单价金额计算结果为准。</w:t>
      </w:r>
      <w:r>
        <w:rPr>
          <w:rFonts w:ascii="宋体" w:hAnsi="宋体"/>
          <w:sz w:val="24"/>
        </w:rPr>
        <w:t xml:space="preserve"> </w:t>
      </w:r>
    </w:p>
    <w:p>
      <w:pPr>
        <w:widowControl/>
        <w:spacing w:line="360" w:lineRule="auto"/>
        <w:ind w:firstLine="442" w:firstLineChars="200"/>
        <w:jc w:val="left"/>
        <w:rPr>
          <w:rFonts w:cs="宋体" w:asciiTheme="minorEastAsia" w:hAnsiTheme="minorEastAsia" w:eastAsiaTheme="minorEastAsia"/>
          <w:b/>
          <w:sz w:val="22"/>
          <w:szCs w:val="24"/>
        </w:rPr>
      </w:pPr>
      <w:r>
        <w:rPr>
          <w:rFonts w:hint="eastAsia" w:cs="宋体" w:asciiTheme="minorEastAsia" w:hAnsiTheme="minorEastAsia" w:eastAsiaTheme="minorEastAsia"/>
          <w:b/>
          <w:sz w:val="22"/>
          <w:szCs w:val="24"/>
          <w:lang w:eastAsia="zh-TW"/>
        </w:rPr>
        <w:t>同时出现两种以上不一致的，按照前款规定的顺序修正</w:t>
      </w:r>
      <w:r>
        <w:rPr>
          <w:rFonts w:hint="eastAsia" w:cs="宋体" w:asciiTheme="minorEastAsia" w:hAnsiTheme="minorEastAsia" w:eastAsiaTheme="minorEastAsia"/>
          <w:b/>
          <w:sz w:val="22"/>
          <w:szCs w:val="24"/>
        </w:rPr>
        <w:t>并</w:t>
      </w:r>
      <w:r>
        <w:rPr>
          <w:rFonts w:hint="eastAsia" w:cs="宋体" w:asciiTheme="minorEastAsia" w:hAnsiTheme="minorEastAsia" w:eastAsiaTheme="minorEastAsia"/>
          <w:b/>
          <w:sz w:val="22"/>
          <w:szCs w:val="24"/>
          <w:lang w:eastAsia="zh-TW"/>
        </w:rPr>
        <w:t>由响应供应商授权代表签字确认，如响应供应商</w:t>
      </w:r>
      <w:r>
        <w:rPr>
          <w:rFonts w:hint="eastAsia" w:cs="宋体" w:asciiTheme="minorEastAsia" w:hAnsiTheme="minorEastAsia" w:eastAsiaTheme="minorEastAsia"/>
          <w:b/>
          <w:sz w:val="22"/>
          <w:szCs w:val="24"/>
        </w:rPr>
        <w:t>不</w:t>
      </w:r>
      <w:r>
        <w:rPr>
          <w:rFonts w:hint="eastAsia" w:cs="宋体" w:asciiTheme="minorEastAsia" w:hAnsiTheme="minorEastAsia" w:eastAsiaTheme="minorEastAsia"/>
          <w:b/>
          <w:sz w:val="22"/>
          <w:szCs w:val="24"/>
          <w:lang w:eastAsia="zh-TW"/>
        </w:rPr>
        <w:t>做确认的</w:t>
      </w:r>
      <w:r>
        <w:rPr>
          <w:rFonts w:hint="eastAsia" w:cs="宋体" w:asciiTheme="minorEastAsia" w:hAnsiTheme="minorEastAsia" w:eastAsiaTheme="minorEastAsia"/>
          <w:b/>
          <w:sz w:val="22"/>
          <w:szCs w:val="24"/>
        </w:rPr>
        <w:t>，</w:t>
      </w:r>
      <w:r>
        <w:rPr>
          <w:rFonts w:hint="eastAsia" w:cs="宋体" w:asciiTheme="minorEastAsia" w:hAnsiTheme="minorEastAsia" w:eastAsiaTheme="minorEastAsia"/>
          <w:b/>
          <w:sz w:val="22"/>
          <w:szCs w:val="24"/>
          <w:lang w:eastAsia="zh-TW"/>
        </w:rPr>
        <w:t>视为其</w:t>
      </w:r>
      <w:r>
        <w:rPr>
          <w:rFonts w:hint="eastAsia" w:cs="宋体" w:asciiTheme="minorEastAsia" w:hAnsiTheme="minorEastAsia" w:eastAsiaTheme="minorEastAsia"/>
          <w:b/>
          <w:sz w:val="22"/>
          <w:szCs w:val="24"/>
        </w:rPr>
        <w:t>响应</w:t>
      </w:r>
      <w:r>
        <w:rPr>
          <w:rFonts w:hint="eastAsia" w:cs="宋体" w:asciiTheme="minorEastAsia" w:hAnsiTheme="minorEastAsia" w:eastAsiaTheme="minorEastAsia"/>
          <w:b/>
          <w:sz w:val="22"/>
          <w:szCs w:val="24"/>
          <w:lang w:eastAsia="zh-TW"/>
        </w:rPr>
        <w:t>无效。</w:t>
      </w:r>
    </w:p>
    <w:p>
      <w:pPr>
        <w:spacing w:line="360" w:lineRule="auto"/>
        <w:ind w:firstLine="480" w:firstLineChars="200"/>
        <w:rPr>
          <w:rFonts w:ascii="宋体" w:hAnsi="宋体"/>
          <w:sz w:val="24"/>
        </w:rPr>
      </w:pPr>
      <w:r>
        <w:rPr>
          <w:rFonts w:hint="eastAsia" w:ascii="宋体" w:hAnsi="宋体"/>
          <w:sz w:val="24"/>
        </w:rPr>
        <w:t>3.磋商小组成员对需要共同认定的事项存在争议的，应当按照少数服从多数的原则作出结论。</w:t>
      </w:r>
    </w:p>
    <w:p>
      <w:pPr>
        <w:spacing w:line="360" w:lineRule="auto"/>
        <w:ind w:firstLine="482" w:firstLineChars="200"/>
        <w:rPr>
          <w:rFonts w:ascii="宋体" w:hAnsi="宋体"/>
          <w:b/>
          <w:sz w:val="24"/>
        </w:rPr>
      </w:pPr>
      <w:bookmarkStart w:id="855" w:name="_Toc90148927"/>
      <w:bookmarkStart w:id="856" w:name="_Toc91288853"/>
      <w:r>
        <w:rPr>
          <w:rFonts w:hint="eastAsia" w:ascii="宋体" w:hAnsi="宋体"/>
          <w:b/>
          <w:sz w:val="24"/>
        </w:rPr>
        <w:t>（四）评标方法及流程</w:t>
      </w:r>
      <w:bookmarkEnd w:id="855"/>
      <w:bookmarkEnd w:id="856"/>
    </w:p>
    <w:p>
      <w:pPr>
        <w:spacing w:line="360" w:lineRule="auto"/>
        <w:ind w:firstLine="482" w:firstLineChars="200"/>
        <w:rPr>
          <w:rFonts w:ascii="宋体" w:hAnsi="宋体"/>
          <w:sz w:val="24"/>
        </w:rPr>
      </w:pPr>
      <w:r>
        <w:rPr>
          <w:rFonts w:hint="eastAsia" w:ascii="宋体" w:hAnsi="宋体"/>
          <w:b/>
          <w:sz w:val="24"/>
        </w:rPr>
        <w:t>1.</w:t>
      </w:r>
      <w:r>
        <w:rPr>
          <w:rFonts w:ascii="宋体" w:hAnsi="宋体"/>
          <w:b/>
          <w:sz w:val="24"/>
        </w:rPr>
        <w:t>评标方法。</w:t>
      </w:r>
      <w:r>
        <w:rPr>
          <w:rFonts w:hint="eastAsia" w:ascii="宋体" w:hAnsi="宋体"/>
          <w:sz w:val="24"/>
        </w:rPr>
        <w:t>本项目采用</w:t>
      </w:r>
      <w:r>
        <w:rPr>
          <w:rFonts w:hint="eastAsia" w:ascii="宋体" w:hAnsi="宋体"/>
          <w:b/>
          <w:sz w:val="24"/>
        </w:rPr>
        <w:t>综合评分法</w:t>
      </w:r>
      <w:r>
        <w:rPr>
          <w:rFonts w:hint="eastAsia" w:ascii="宋体" w:hAnsi="宋体"/>
          <w:sz w:val="24"/>
        </w:rPr>
        <w:t>。指响应文件满足磋商文件全部实质性要求，且按照评审因素的指标评审得分最高的响应供应商为成交候选供应商的评标方法。</w:t>
      </w:r>
    </w:p>
    <w:p>
      <w:pPr>
        <w:spacing w:line="360" w:lineRule="auto"/>
        <w:ind w:firstLine="482" w:firstLineChars="200"/>
        <w:rPr>
          <w:rFonts w:ascii="宋体" w:hAnsi="宋体"/>
          <w:b/>
          <w:sz w:val="24"/>
        </w:rPr>
      </w:pPr>
      <w:r>
        <w:rPr>
          <w:rFonts w:hint="eastAsia" w:ascii="宋体" w:hAnsi="宋体"/>
          <w:b/>
          <w:sz w:val="24"/>
        </w:rPr>
        <w:t>2.资格性、符合性审查</w:t>
      </w:r>
    </w:p>
    <w:p>
      <w:pPr>
        <w:spacing w:line="360" w:lineRule="auto"/>
        <w:ind w:firstLine="480" w:firstLineChars="200"/>
        <w:rPr>
          <w:rFonts w:ascii="宋体" w:hAnsi="宋体"/>
          <w:sz w:val="24"/>
        </w:rPr>
      </w:pPr>
      <w:r>
        <w:rPr>
          <w:rFonts w:hint="eastAsia" w:ascii="宋体" w:hAnsi="宋体"/>
          <w:sz w:val="24"/>
        </w:rPr>
        <w:t>2.1开标结束后，磋商小组依法对响应供应商的资格性、符合性进行审查，详见《资格性、符合性审查表》。对被认定为不合格的响应供应商，由磋商小组组长或采购人代表将集体意见现场及时告知响应供应商当事人，以让其核证、澄清事实。未通过资格性、符合性审查的响应供应商，不进入下一阶段的技术、商务和价格评审。</w:t>
      </w:r>
    </w:p>
    <w:p>
      <w:pPr>
        <w:spacing w:line="360" w:lineRule="auto"/>
        <w:ind w:firstLine="482" w:firstLineChars="200"/>
        <w:rPr>
          <w:rFonts w:ascii="宋体" w:hAnsi="宋体"/>
          <w:sz w:val="24"/>
        </w:rPr>
      </w:pPr>
      <w:r>
        <w:rPr>
          <w:rFonts w:hint="eastAsia" w:ascii="宋体" w:hAnsi="宋体"/>
          <w:b/>
          <w:sz w:val="24"/>
        </w:rPr>
        <w:t>2.2在资格性、符合性审查中，有下列情形之一的，视为响应供应商串通响应，其响应无效：</w:t>
      </w:r>
      <w:r>
        <w:rPr>
          <w:rFonts w:hint="eastAsia" w:ascii="宋体" w:hAnsi="宋体"/>
          <w:sz w:val="24"/>
        </w:rPr>
        <w:t>（1）不同响应供应商的响应文件由同一单位或者个人编制；（2）不同响应供应商委托同一单位或者个人办理响应事宜；（3）不同响应供应商的响应文件载明的项目管理成员或者联系人员为同一人；（4）不同响应供应商的响应文件异常一致或者响应报价呈规律性差异；（5）不同响应供应商的响应文件相互混装。</w:t>
      </w:r>
    </w:p>
    <w:p>
      <w:pPr>
        <w:spacing w:line="360" w:lineRule="auto"/>
        <w:ind w:firstLine="482" w:firstLineChars="200"/>
        <w:rPr>
          <w:rFonts w:ascii="宋体" w:hAnsi="宋体"/>
          <w:sz w:val="24"/>
        </w:rPr>
      </w:pPr>
      <w:r>
        <w:rPr>
          <w:rFonts w:hint="eastAsia" w:ascii="宋体" w:hAnsi="宋体"/>
          <w:b/>
          <w:sz w:val="24"/>
        </w:rPr>
        <w:t>2.3 通过资格性、符合性审查的响应供应商数量不足3家的，项目作废标处理。</w:t>
      </w:r>
    </w:p>
    <w:p>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sz w:val="24"/>
        </w:rPr>
        <w:tab/>
      </w:r>
      <w:r>
        <w:rPr>
          <w:rFonts w:hint="eastAsia" w:ascii="宋体" w:hAnsi="宋体"/>
          <w:b/>
          <w:sz w:val="24"/>
        </w:rPr>
        <w:t>磋商</w:t>
      </w:r>
    </w:p>
    <w:p>
      <w:pPr>
        <w:spacing w:line="360" w:lineRule="auto"/>
        <w:ind w:firstLine="480" w:firstLineChars="200"/>
        <w:rPr>
          <w:rFonts w:ascii="宋体" w:hAnsi="宋体"/>
          <w:sz w:val="24"/>
        </w:rPr>
      </w:pPr>
      <w:r>
        <w:rPr>
          <w:rFonts w:hint="eastAsia" w:ascii="宋体" w:hAnsi="宋体"/>
          <w:sz w:val="24"/>
        </w:rPr>
        <w:t>3.1磋商文件未发生实质性变动的：</w:t>
      </w:r>
    </w:p>
    <w:p>
      <w:pPr>
        <w:spacing w:line="360" w:lineRule="auto"/>
        <w:ind w:firstLine="480" w:firstLineChars="200"/>
        <w:rPr>
          <w:rFonts w:ascii="宋体" w:hAnsi="宋体"/>
          <w:sz w:val="24"/>
        </w:rPr>
      </w:pPr>
      <w:r>
        <w:rPr>
          <w:rFonts w:hint="eastAsia" w:ascii="宋体" w:hAnsi="宋体"/>
          <w:sz w:val="24"/>
        </w:rPr>
        <w:t>磋商小组集中与每个供应商分别进行磋商，磋商的内容主要是对响应文件的澄清、修正、补充、确认等。供应商磋商结束后，在该文件上注明最后报价及有关承诺（如有）。如磋商小组没有对磋商文件作实质性变动增加新的需求，后一轮报价不得高于前一轮报价，否则将按响应无效处理。</w:t>
      </w:r>
    </w:p>
    <w:p>
      <w:pPr>
        <w:spacing w:line="360" w:lineRule="auto"/>
        <w:ind w:firstLine="480" w:firstLineChars="200"/>
        <w:rPr>
          <w:rFonts w:ascii="宋体" w:hAnsi="宋体"/>
          <w:sz w:val="24"/>
        </w:rPr>
      </w:pPr>
      <w:r>
        <w:rPr>
          <w:rFonts w:hint="eastAsia" w:ascii="宋体" w:hAnsi="宋体"/>
          <w:sz w:val="24"/>
        </w:rPr>
        <w:t>3.2磋商文件发生实质性变动的：</w:t>
      </w:r>
    </w:p>
    <w:p>
      <w:pPr>
        <w:spacing w:line="360" w:lineRule="auto"/>
        <w:ind w:firstLine="480" w:firstLineChars="200"/>
        <w:rPr>
          <w:rFonts w:ascii="宋体" w:hAnsi="宋体"/>
          <w:sz w:val="24"/>
        </w:rPr>
      </w:pPr>
      <w:r>
        <w:rPr>
          <w:rFonts w:hint="eastAsia" w:ascii="宋体" w:hAnsi="宋体"/>
          <w:sz w:val="24"/>
        </w:rPr>
        <w:t>（1）书面通知变更内容</w:t>
      </w:r>
    </w:p>
    <w:p>
      <w:pPr>
        <w:spacing w:line="360" w:lineRule="auto"/>
        <w:ind w:firstLine="480" w:firstLineChars="200"/>
        <w:rPr>
          <w:rFonts w:ascii="宋体" w:hAnsi="宋体"/>
          <w:sz w:val="24"/>
        </w:rPr>
      </w:pPr>
      <w:r>
        <w:rPr>
          <w:rFonts w:hint="eastAsia" w:ascii="宋体" w:hAnsi="宋体"/>
          <w:sz w:val="24"/>
        </w:rPr>
        <w:t>在磋商过程中，磋商小组可以根据磋商文件和磋商情况实质性变动采购需求中的技术、服务要求以及合同草案条款，但不得变动磋商文件中的其他内容。实质性变动的内容，经采购人代表确认后，由磋商小组书面通知所有供应商。对磋商文件作出的实质性变动是磋商文件的有效组成部分。</w:t>
      </w:r>
    </w:p>
    <w:p>
      <w:pPr>
        <w:spacing w:line="360" w:lineRule="auto"/>
        <w:ind w:firstLine="480" w:firstLineChars="200"/>
        <w:rPr>
          <w:rFonts w:ascii="宋体" w:hAnsi="宋体"/>
          <w:sz w:val="24"/>
        </w:rPr>
      </w:pPr>
      <w:r>
        <w:rPr>
          <w:rFonts w:hint="eastAsia" w:ascii="宋体" w:hAnsi="宋体"/>
          <w:sz w:val="24"/>
        </w:rPr>
        <w:t>（2）磋商</w:t>
      </w:r>
    </w:p>
    <w:p>
      <w:pPr>
        <w:spacing w:line="360" w:lineRule="auto"/>
        <w:ind w:firstLine="480" w:firstLineChars="200"/>
        <w:rPr>
          <w:rFonts w:ascii="宋体" w:hAnsi="宋体"/>
          <w:sz w:val="24"/>
        </w:rPr>
      </w:pPr>
      <w:r>
        <w:rPr>
          <w:rFonts w:hint="eastAsia" w:ascii="宋体" w:hAnsi="宋体"/>
          <w:sz w:val="24"/>
        </w:rPr>
        <w:t>磋商小组集中与接受磋商文件变更的每个供应商分别进行磋商，并形成磋商纪要。磋商的内容主要是对响应文件的澄清、修正、补充、确认等。不接受磋商文件变更的供应商，视为自动退出磋商，其响应文件作无效处理。</w:t>
      </w:r>
    </w:p>
    <w:p>
      <w:pPr>
        <w:spacing w:line="360" w:lineRule="auto"/>
        <w:ind w:firstLine="480" w:firstLineChars="200"/>
        <w:rPr>
          <w:rFonts w:ascii="宋体" w:hAnsi="宋体"/>
          <w:sz w:val="24"/>
        </w:rPr>
      </w:pPr>
      <w:r>
        <w:rPr>
          <w:rFonts w:hint="eastAsia" w:ascii="宋体" w:hAnsi="宋体"/>
          <w:sz w:val="24"/>
        </w:rPr>
        <w:t>（3）重新提交响应文件（含报价）</w:t>
      </w:r>
    </w:p>
    <w:p>
      <w:pPr>
        <w:spacing w:line="360" w:lineRule="auto"/>
        <w:ind w:firstLine="480" w:firstLineChars="200"/>
        <w:rPr>
          <w:rFonts w:ascii="宋体" w:hAnsi="宋体"/>
          <w:sz w:val="24"/>
        </w:rPr>
      </w:pPr>
      <w:r>
        <w:rPr>
          <w:rFonts w:hint="eastAsia" w:ascii="宋体" w:hAnsi="宋体"/>
          <w:sz w:val="24"/>
        </w:rPr>
        <w:t>供应商应当按照磋商文件的变动情况和磋商小组的要求重新提交响应文件。最终报价时间视磋商进程由磋商小组决定。</w:t>
      </w:r>
    </w:p>
    <w:p>
      <w:pPr>
        <w:spacing w:line="360" w:lineRule="auto"/>
        <w:ind w:firstLine="482" w:firstLineChars="200"/>
        <w:rPr>
          <w:rFonts w:ascii="宋体" w:hAnsi="宋体" w:cs="宋体"/>
          <w:b/>
          <w:color w:val="000000"/>
          <w:sz w:val="24"/>
        </w:rPr>
      </w:pPr>
      <w:r>
        <w:rPr>
          <w:rFonts w:hint="eastAsia" w:ascii="宋体" w:hAnsi="宋体"/>
          <w:b/>
          <w:sz w:val="24"/>
        </w:rPr>
        <w:t xml:space="preserve">4. </w:t>
      </w:r>
      <w:r>
        <w:rPr>
          <w:rFonts w:hint="eastAsia" w:ascii="宋体" w:hAnsi="宋体" w:cs="宋体"/>
          <w:b/>
          <w:color w:val="000000"/>
          <w:sz w:val="24"/>
        </w:rPr>
        <w:t>参与磋商的供应商数量要求</w:t>
      </w:r>
    </w:p>
    <w:p>
      <w:pPr>
        <w:tabs>
          <w:tab w:val="left" w:pos="1118"/>
        </w:tabs>
        <w:spacing w:line="360" w:lineRule="auto"/>
        <w:ind w:firstLine="480" w:firstLineChars="200"/>
        <w:rPr>
          <w:rFonts w:ascii="宋体" w:hAnsi="宋体"/>
          <w:sz w:val="24"/>
        </w:rPr>
      </w:pPr>
      <w:r>
        <w:rPr>
          <w:rFonts w:hint="eastAsia" w:ascii="宋体" w:hAnsi="宋体"/>
          <w:sz w:val="24"/>
        </w:rPr>
        <w:t>（1）磋商文件能够详细列明采购标的的技术、服务要求的，磋商结束后，磋商小组应当要求所有通过了资格性审查和符合性审查，继续参加磋商的供应商在规定时间内提交最后报价及有关承诺，提交最后报价的供应商不得少于3家。</w:t>
      </w:r>
    </w:p>
    <w:p>
      <w:pPr>
        <w:tabs>
          <w:tab w:val="left" w:pos="1118"/>
        </w:tabs>
        <w:spacing w:line="360" w:lineRule="auto"/>
        <w:ind w:firstLine="480" w:firstLineChars="200"/>
        <w:rPr>
          <w:rFonts w:ascii="宋体" w:hAnsi="宋体"/>
          <w:sz w:val="24"/>
        </w:rPr>
      </w:pPr>
      <w:r>
        <w:rPr>
          <w:rFonts w:hint="eastAsia" w:ascii="宋体" w:hAnsi="宋体"/>
          <w:sz w:val="24"/>
        </w:rPr>
        <w:t>（2）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pPr>
        <w:tabs>
          <w:tab w:val="left" w:pos="1118"/>
        </w:tabs>
        <w:spacing w:line="360" w:lineRule="auto"/>
        <w:ind w:firstLine="480" w:firstLineChars="200"/>
        <w:rPr>
          <w:rFonts w:ascii="宋体" w:hAnsi="宋体"/>
          <w:sz w:val="24"/>
        </w:rPr>
      </w:pPr>
      <w:r>
        <w:rPr>
          <w:rFonts w:hint="eastAsia" w:ascii="宋体" w:hAnsi="宋体"/>
          <w:sz w:val="24"/>
        </w:rPr>
        <w:t>（3）供应商在提交最后报价之前可以根据磋商情况退出磋商，提交最后报价的供应商不得少于3家，如少于3家时，磋商小组宣布项目采购失败。</w:t>
      </w:r>
    </w:p>
    <w:p>
      <w:pPr>
        <w:tabs>
          <w:tab w:val="left" w:pos="1118"/>
        </w:tabs>
        <w:spacing w:line="360" w:lineRule="auto"/>
        <w:ind w:firstLine="480" w:firstLineChars="200"/>
        <w:rPr>
          <w:rFonts w:ascii="宋体" w:hAnsi="宋体"/>
          <w:sz w:val="24"/>
        </w:rPr>
      </w:pPr>
      <w:r>
        <w:rPr>
          <w:rFonts w:hint="eastAsia" w:ascii="宋体" w:hAnsi="宋体"/>
          <w:sz w:val="24"/>
        </w:rPr>
        <w:t>（4）市场竞争不充分的科研项目，以及需要扶持的科技成果转化项目，当提交最后报价的供应商为2家时，磋商小组可以继续进行评审活动或宣布项目采购失败。</w:t>
      </w:r>
    </w:p>
    <w:p>
      <w:pPr>
        <w:spacing w:line="360" w:lineRule="auto"/>
        <w:ind w:firstLine="480" w:firstLineChars="200"/>
        <w:rPr>
          <w:rFonts w:ascii="宋体" w:hAnsi="宋体"/>
          <w:sz w:val="24"/>
        </w:rPr>
      </w:pPr>
      <w:r>
        <w:rPr>
          <w:rFonts w:hint="eastAsia" w:ascii="宋体" w:hAnsi="宋体"/>
          <w:sz w:val="24"/>
        </w:rPr>
        <w:t>（5）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b/>
          <w:sz w:val="24"/>
        </w:rPr>
      </w:pPr>
      <w:r>
        <w:rPr>
          <w:rFonts w:hint="eastAsia" w:ascii="宋体" w:hAnsi="宋体"/>
          <w:b/>
          <w:sz w:val="24"/>
        </w:rPr>
        <w:t>5. 综合评审</w:t>
      </w:r>
    </w:p>
    <w:p>
      <w:pPr>
        <w:spacing w:line="360" w:lineRule="auto"/>
        <w:ind w:firstLine="480" w:firstLineChars="200"/>
        <w:rPr>
          <w:rFonts w:ascii="宋体" w:hAnsi="宋体"/>
          <w:sz w:val="24"/>
        </w:rPr>
      </w:pPr>
      <w:r>
        <w:rPr>
          <w:rFonts w:hint="eastAsia" w:ascii="宋体" w:hAnsi="宋体"/>
          <w:sz w:val="24"/>
        </w:rPr>
        <w:t>5.1磋商小组对资格性、符合性审查合格且进行最后报价的响应供应商进行技术、商务、价格评审。</w:t>
      </w:r>
    </w:p>
    <w:p>
      <w:pPr>
        <w:spacing w:line="360" w:lineRule="auto"/>
        <w:ind w:firstLine="480" w:firstLineChars="200"/>
        <w:rPr>
          <w:rFonts w:ascii="宋体" w:hAnsi="宋体"/>
          <w:sz w:val="24"/>
        </w:rPr>
      </w:pPr>
      <w:r>
        <w:rPr>
          <w:rFonts w:hint="eastAsia" w:ascii="宋体" w:hAnsi="宋体"/>
          <w:sz w:val="24"/>
        </w:rPr>
        <w:t>5.2技术、商务、价格部分分值分配如下：</w:t>
      </w:r>
    </w:p>
    <w:tbl>
      <w:tblPr>
        <w:tblStyle w:val="17"/>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182"/>
        <w:gridCol w:w="218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94"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评分项目</w:t>
            </w:r>
          </w:p>
        </w:tc>
        <w:tc>
          <w:tcPr>
            <w:tcW w:w="1353"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技术部分</w:t>
            </w:r>
          </w:p>
        </w:tc>
        <w:tc>
          <w:tcPr>
            <w:tcW w:w="1353"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商务部分</w:t>
            </w:r>
          </w:p>
        </w:tc>
        <w:tc>
          <w:tcPr>
            <w:tcW w:w="1100"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4"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1100"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94"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满分</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60分</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30分</w:t>
            </w:r>
          </w:p>
        </w:tc>
        <w:tc>
          <w:tcPr>
            <w:tcW w:w="1100"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r>
    </w:tbl>
    <w:p>
      <w:pPr>
        <w:snapToGrid w:val="0"/>
        <w:spacing w:line="360" w:lineRule="auto"/>
        <w:ind w:firstLine="424" w:firstLineChars="176"/>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（1）技术商务得分。</w:t>
      </w:r>
      <w:r>
        <w:rPr>
          <w:rFonts w:hint="eastAsia" w:cs="宋体" w:asciiTheme="minorEastAsia" w:hAnsiTheme="minorEastAsia" w:eastAsiaTheme="minorEastAsia"/>
          <w:sz w:val="24"/>
          <w:szCs w:val="24"/>
        </w:rPr>
        <w:t>将评审委员会成员各项的技术、商务评分的平均值求和，得出每个有效响应供应商的技术得分、商务得分（四舍五入后，精确到0.01）。将技术得分、商务得分相加乘于对应权重得出技术、商务得分。</w:t>
      </w:r>
    </w:p>
    <w:p>
      <w:pPr>
        <w:snapToGrid w:val="0"/>
        <w:spacing w:line="360" w:lineRule="auto"/>
        <w:ind w:firstLine="424" w:firstLineChars="176"/>
        <w:rPr>
          <w:rFonts w:cs="宋体" w:asciiTheme="minorEastAsia" w:hAnsiTheme="minorEastAsia" w:eastAsiaTheme="minorEastAsia"/>
          <w:bCs/>
          <w:sz w:val="24"/>
        </w:rPr>
      </w:pPr>
      <w:r>
        <w:rPr>
          <w:rFonts w:hint="eastAsia" w:cs="宋体" w:asciiTheme="minorEastAsia" w:hAnsiTheme="minorEastAsia" w:eastAsiaTheme="minorEastAsia"/>
          <w:b/>
          <w:bCs/>
          <w:sz w:val="24"/>
          <w:szCs w:val="24"/>
        </w:rPr>
        <w:t>（2）价格得分。</w:t>
      </w:r>
      <w:r>
        <w:rPr>
          <w:rFonts w:hint="eastAsia" w:cs="宋体" w:asciiTheme="minorEastAsia" w:hAnsiTheme="minorEastAsia" w:eastAsiaTheme="minorEastAsia"/>
          <w:bCs/>
          <w:sz w:val="24"/>
          <w:lang w:eastAsia="zh-TW"/>
        </w:rPr>
        <w:t>价格分采用低价优先法计算，即满足磋商文件要求（通过资格性审查及符合性审查）且</w:t>
      </w:r>
      <w:r>
        <w:rPr>
          <w:rFonts w:hint="eastAsia" w:cs="宋体" w:asciiTheme="minorEastAsia" w:hAnsiTheme="minorEastAsia" w:eastAsiaTheme="minorEastAsia"/>
          <w:bCs/>
          <w:sz w:val="24"/>
        </w:rPr>
        <w:t>响应</w:t>
      </w:r>
      <w:r>
        <w:rPr>
          <w:rFonts w:hint="eastAsia" w:cs="宋体" w:asciiTheme="minorEastAsia" w:hAnsiTheme="minorEastAsia" w:eastAsiaTheme="minorEastAsia"/>
          <w:bCs/>
          <w:sz w:val="24"/>
          <w:lang w:eastAsia="zh-TW"/>
        </w:rPr>
        <w:t>价格最低的响应报价（指修正后报价，下同）为评标基准价，其价格分为满分。其他响应供应商的价格分统一按照下列公式计算</w:t>
      </w:r>
      <w:r>
        <w:rPr>
          <w:rFonts w:hint="eastAsia" w:cs="宋体" w:asciiTheme="minorEastAsia" w:hAnsiTheme="minorEastAsia" w:eastAsiaTheme="minorEastAsia"/>
          <w:bCs/>
          <w:sz w:val="24"/>
        </w:rPr>
        <w:t>（价格得分分值按四舍五入原则精确到小数点后两位数）。价格</w:t>
      </w:r>
      <w:r>
        <w:rPr>
          <w:rFonts w:hint="eastAsia" w:cs="宋体" w:asciiTheme="minorEastAsia" w:hAnsiTheme="minorEastAsia" w:eastAsiaTheme="minorEastAsia"/>
          <w:bCs/>
          <w:sz w:val="24"/>
          <w:lang w:eastAsia="zh-TW"/>
        </w:rPr>
        <w:t>得分=</w:t>
      </w:r>
      <w:r>
        <w:rPr>
          <w:rFonts w:hint="eastAsia" w:asciiTheme="minorEastAsia" w:hAnsiTheme="minorEastAsia" w:eastAsiaTheme="minorEastAsia"/>
        </w:rPr>
        <w:t xml:space="preserve"> </w:t>
      </w:r>
      <w:r>
        <w:rPr>
          <w:rFonts w:hint="eastAsia" w:cs="宋体" w:asciiTheme="minorEastAsia" w:hAnsiTheme="minorEastAsia" w:eastAsiaTheme="minorEastAsia"/>
          <w:bCs/>
          <w:sz w:val="24"/>
          <w:lang w:eastAsia="zh-TW"/>
        </w:rPr>
        <w:t>(评标基准价/评标总价)×100×价格权重。</w:t>
      </w:r>
    </w:p>
    <w:p>
      <w:pPr>
        <w:pStyle w:val="23"/>
        <w:widowControl/>
        <w:spacing w:line="360" w:lineRule="auto"/>
        <w:ind w:firstLine="352" w:firstLineChars="146"/>
        <w:jc w:val="left"/>
        <w:rPr>
          <w:rFonts w:cs="宋体" w:asciiTheme="minorEastAsia" w:hAnsiTheme="minorEastAsia" w:eastAsiaTheme="minorEastAsia"/>
          <w:bCs/>
          <w:sz w:val="24"/>
        </w:rPr>
      </w:pPr>
      <w:r>
        <w:rPr>
          <w:rFonts w:hint="eastAsia" w:ascii="宋体" w:hAnsi="宋体" w:cs="宋体"/>
          <w:b/>
          <w:bCs/>
          <w:sz w:val="24"/>
        </w:rPr>
        <w:t>（注：如项目为下浮率报价，则“下浮率最高即为响应</w:t>
      </w:r>
      <w:r>
        <w:rPr>
          <w:rFonts w:hint="eastAsia" w:ascii="宋体" w:hAnsi="宋体" w:cs="宋体"/>
          <w:b/>
          <w:bCs/>
          <w:sz w:val="24"/>
          <w:lang w:eastAsia="zh-TW"/>
        </w:rPr>
        <w:t>价格最低</w:t>
      </w:r>
      <w:r>
        <w:rPr>
          <w:rFonts w:hint="eastAsia" w:ascii="宋体" w:hAnsi="宋体" w:cs="宋体"/>
          <w:b/>
          <w:bCs/>
          <w:sz w:val="24"/>
        </w:rPr>
        <w:t>”）</w:t>
      </w:r>
    </w:p>
    <w:p>
      <w:pPr>
        <w:spacing w:line="360" w:lineRule="auto"/>
        <w:ind w:firstLine="482" w:firstLineChars="200"/>
        <w:rPr>
          <w:rFonts w:ascii="宋体" w:hAnsi="宋体" w:cs="宋体"/>
          <w:bCs/>
          <w:sz w:val="24"/>
        </w:rPr>
      </w:pPr>
      <w:r>
        <w:rPr>
          <w:rFonts w:hint="eastAsia" w:ascii="宋体" w:hAnsi="宋体"/>
          <w:b/>
          <w:sz w:val="24"/>
        </w:rPr>
        <w:t>6.评审原则</w:t>
      </w:r>
      <w:r>
        <w:rPr>
          <w:rFonts w:hint="eastAsia" w:ascii="宋体" w:hAnsi="宋体"/>
        </w:rPr>
        <w:t>。</w:t>
      </w:r>
      <w:r>
        <w:rPr>
          <w:rFonts w:hint="eastAsia" w:cs="宋体" w:asciiTheme="minorEastAsia" w:hAnsiTheme="minorEastAsia" w:eastAsiaTheme="minorEastAsia"/>
          <w:sz w:val="24"/>
        </w:rPr>
        <w:t>评审过程中，不得去掉报价中的最高报价和最低报价。评审时，磋商小组各成员应当独立对每个响应供应商的响应文件进行评审，并汇总每个响应供应商的得分。磋商小组对有效响应供应商的</w:t>
      </w:r>
      <w:r>
        <w:rPr>
          <w:rFonts w:hint="eastAsia" w:ascii="宋体" w:hAnsi="宋体"/>
          <w:sz w:val="24"/>
        </w:rPr>
        <w:t>响应</w:t>
      </w:r>
      <w:r>
        <w:rPr>
          <w:rFonts w:hint="eastAsia" w:cs="宋体" w:asciiTheme="minorEastAsia" w:hAnsiTheme="minorEastAsia" w:eastAsiaTheme="minorEastAsia"/>
          <w:sz w:val="24"/>
        </w:rPr>
        <w:t>报价进行校核、评审或作出必要的修正，并按价格评分办法计算其价格评分。</w:t>
      </w:r>
    </w:p>
    <w:p>
      <w:pPr>
        <w:spacing w:line="360" w:lineRule="auto"/>
        <w:ind w:firstLine="482" w:firstLineChars="200"/>
        <w:rPr>
          <w:rFonts w:ascii="宋体" w:hAnsi="宋体"/>
          <w:b/>
          <w:sz w:val="24"/>
        </w:rPr>
      </w:pPr>
      <w:r>
        <w:rPr>
          <w:rFonts w:hint="eastAsia" w:ascii="宋体" w:hAnsi="宋体"/>
          <w:b/>
          <w:sz w:val="24"/>
        </w:rPr>
        <w:t>7.综合得分</w:t>
      </w:r>
    </w:p>
    <w:p>
      <w:pPr>
        <w:pStyle w:val="23"/>
        <w:widowControl/>
        <w:spacing w:line="360" w:lineRule="auto"/>
        <w:ind w:firstLine="424" w:firstLineChars="177"/>
        <w:jc w:val="left"/>
        <w:rPr>
          <w:rFonts w:ascii="楷体_GB2312"/>
          <w:sz w:val="24"/>
        </w:rPr>
      </w:pPr>
      <w:r>
        <w:rPr>
          <w:rFonts w:hint="eastAsia" w:ascii="宋体" w:hAnsi="宋体" w:cs="宋体"/>
          <w:bCs/>
          <w:sz w:val="24"/>
        </w:rPr>
        <w:t>综合得分=技术得分+商务得分+价格得分</w:t>
      </w:r>
    </w:p>
    <w:p>
      <w:pPr>
        <w:spacing w:line="360" w:lineRule="auto"/>
        <w:jc w:val="left"/>
        <w:rPr>
          <w:b/>
          <w:sz w:val="24"/>
        </w:rPr>
      </w:pPr>
      <w:bookmarkStart w:id="857" w:name="_Toc90148929"/>
      <w:bookmarkStart w:id="858" w:name="_Toc91288855"/>
      <w:r>
        <w:rPr>
          <w:rFonts w:hint="eastAsia"/>
          <w:b/>
          <w:sz w:val="24"/>
        </w:rPr>
        <w:t>三、定标</w:t>
      </w:r>
      <w:bookmarkEnd w:id="857"/>
      <w:bookmarkEnd w:id="858"/>
    </w:p>
    <w:p>
      <w:pPr>
        <w:pStyle w:val="23"/>
        <w:widowControl/>
        <w:spacing w:line="360" w:lineRule="auto"/>
        <w:ind w:firstLine="424" w:firstLineChars="177"/>
        <w:jc w:val="left"/>
        <w:rPr>
          <w:rFonts w:ascii="宋体" w:hAnsi="宋体"/>
          <w:sz w:val="24"/>
        </w:rPr>
      </w:pPr>
      <w:r>
        <w:rPr>
          <w:rFonts w:hint="eastAsia" w:ascii="宋体" w:hAnsi="宋体"/>
          <w:sz w:val="24"/>
        </w:rPr>
        <w:t>1.磋商小组按照磋商文件确定的评标方法、步骤、标准，对响应文件进行评审，提出书面评审报告，按照磋商文件规定的优先排列顺序推荐3名成交候选供应商名单。</w:t>
      </w:r>
    </w:p>
    <w:p>
      <w:pPr>
        <w:pStyle w:val="23"/>
        <w:widowControl/>
        <w:spacing w:line="360" w:lineRule="auto"/>
        <w:ind w:firstLine="424" w:firstLineChars="177"/>
        <w:jc w:val="left"/>
        <w:rPr>
          <w:rFonts w:ascii="宋体" w:hAnsi="宋体"/>
          <w:sz w:val="24"/>
        </w:rPr>
      </w:pPr>
      <w:r>
        <w:rPr>
          <w:rFonts w:hint="eastAsia" w:ascii="宋体" w:hAnsi="宋体"/>
          <w:sz w:val="24"/>
        </w:rPr>
        <w:t>2.磋商小组成员对需要共同认定的事项存在争议的，应当按照少数服从多数的原则作出结论。持不同意见的磋商小组成员应当在评审报告上签署不同意见及理由，否则视为同意评审报告。</w:t>
      </w:r>
    </w:p>
    <w:p>
      <w:pPr>
        <w:pStyle w:val="23"/>
        <w:widowControl/>
        <w:spacing w:line="360" w:lineRule="auto"/>
        <w:ind w:firstLine="424" w:firstLineChars="177"/>
        <w:jc w:val="left"/>
        <w:rPr>
          <w:rFonts w:ascii="宋体" w:hAnsi="宋体" w:cs="宋体"/>
          <w:bCs/>
          <w:sz w:val="24"/>
        </w:rPr>
      </w:pPr>
      <w:r>
        <w:rPr>
          <w:rFonts w:hint="eastAsia" w:ascii="宋体" w:hAnsi="宋体"/>
          <w:sz w:val="24"/>
        </w:rPr>
        <w:t>3.</w:t>
      </w:r>
      <w:r>
        <w:rPr>
          <w:rFonts w:hint="eastAsia" w:ascii="宋体" w:hAnsi="宋体" w:cs="宋体"/>
          <w:bCs/>
          <w:sz w:val="24"/>
        </w:rPr>
        <w:t>采购代理机构</w:t>
      </w:r>
      <w:r>
        <w:rPr>
          <w:rFonts w:ascii="宋体" w:hAnsi="宋体" w:cs="宋体"/>
          <w:bCs/>
          <w:sz w:val="24"/>
        </w:rPr>
        <w:t>提</w:t>
      </w:r>
      <w:r>
        <w:rPr>
          <w:rFonts w:hint="eastAsia" w:ascii="宋体" w:hAnsi="宋体" w:cs="宋体"/>
          <w:bCs/>
          <w:sz w:val="24"/>
        </w:rPr>
        <w:t>交</w:t>
      </w:r>
      <w:r>
        <w:rPr>
          <w:rFonts w:ascii="宋体" w:hAnsi="宋体" w:cs="宋体"/>
          <w:bCs/>
          <w:sz w:val="24"/>
        </w:rPr>
        <w:t>评</w:t>
      </w:r>
      <w:r>
        <w:rPr>
          <w:rFonts w:hint="eastAsia" w:ascii="宋体" w:hAnsi="宋体" w:cs="宋体"/>
          <w:bCs/>
          <w:sz w:val="24"/>
        </w:rPr>
        <w:t>标</w:t>
      </w:r>
      <w:r>
        <w:rPr>
          <w:rFonts w:ascii="宋体" w:hAnsi="宋体" w:cs="宋体"/>
          <w:bCs/>
          <w:sz w:val="24"/>
        </w:rPr>
        <w:t>报告报</w:t>
      </w:r>
      <w:r>
        <w:rPr>
          <w:rFonts w:hint="eastAsia" w:ascii="宋体" w:hAnsi="宋体" w:cs="宋体"/>
          <w:bCs/>
          <w:sz w:val="24"/>
        </w:rPr>
        <w:t>采购人确认，采购人在收到评标报告之日起５个工作日内，在评标报告确定的成交候选供应商名单中按顺序确定成交供应商。采购代理机构按照采购人确认的成交结果在相关媒体上发布成交公告，并同时向成交供应商发出《成交通知书》。</w:t>
      </w:r>
    </w:p>
    <w:p>
      <w:pPr>
        <w:pStyle w:val="23"/>
        <w:widowControl/>
        <w:spacing w:line="360" w:lineRule="auto"/>
        <w:ind w:firstLine="424" w:firstLineChars="177"/>
        <w:jc w:val="left"/>
        <w:rPr>
          <w:rFonts w:ascii="宋体" w:hAnsi="宋体" w:cs="宋体"/>
          <w:bCs/>
          <w:sz w:val="24"/>
        </w:rPr>
      </w:pPr>
      <w:r>
        <w:rPr>
          <w:rFonts w:hint="eastAsia" w:ascii="宋体" w:hAnsi="宋体" w:cs="宋体"/>
          <w:bCs/>
          <w:sz w:val="24"/>
        </w:rPr>
        <w:t>4.成交供应商拒绝与采购人签订合同的，采购人可以按照评审报告推荐的成交候选供应商名单排序，确定下一候选人为成交供应商，也可以重新开展采购活动。</w:t>
      </w:r>
    </w:p>
    <w:p>
      <w:pPr>
        <w:pStyle w:val="23"/>
        <w:widowControl/>
        <w:spacing w:line="360" w:lineRule="auto"/>
        <w:ind w:firstLine="424" w:firstLineChars="177"/>
        <w:jc w:val="left"/>
        <w:rPr>
          <w:rFonts w:ascii="宋体" w:hAnsi="宋体" w:cs="宋体"/>
          <w:bCs/>
          <w:sz w:val="24"/>
        </w:rPr>
      </w:pPr>
      <w:r>
        <w:rPr>
          <w:rFonts w:hint="eastAsia" w:ascii="宋体" w:hAnsi="宋体" w:cs="宋体"/>
          <w:bCs/>
          <w:sz w:val="24"/>
        </w:rPr>
        <w:t>5.成交供应商放弃成交或者成交资格被依法确认无效的，采购人可以按照排序从其他成交候选供应商中确定成交供应商，没有其他成交候选供应商的，应当重新组织采购活动。</w:t>
      </w:r>
    </w:p>
    <w:p>
      <w:pPr>
        <w:spacing w:line="360" w:lineRule="auto"/>
        <w:jc w:val="left"/>
        <w:rPr>
          <w:b/>
          <w:sz w:val="24"/>
        </w:rPr>
      </w:pPr>
      <w:bookmarkStart w:id="859" w:name="_Toc90148930"/>
      <w:bookmarkStart w:id="860" w:name="_Toc91288856"/>
      <w:bookmarkStart w:id="861" w:name="_Toc273342940"/>
      <w:bookmarkStart w:id="862" w:name="_Toc438513744"/>
      <w:bookmarkStart w:id="863" w:name="_Toc447233593"/>
      <w:bookmarkStart w:id="864" w:name="_Toc439513171"/>
      <w:bookmarkStart w:id="865" w:name="_Toc438508607"/>
      <w:bookmarkStart w:id="866" w:name="_Toc422865431"/>
      <w:bookmarkStart w:id="867" w:name="_Toc369081828"/>
      <w:bookmarkStart w:id="868" w:name="_Toc358307757"/>
      <w:bookmarkStart w:id="869" w:name="_Toc438722140"/>
      <w:bookmarkStart w:id="870" w:name="_Toc418023343"/>
      <w:bookmarkStart w:id="871" w:name="_Toc439679278"/>
      <w:bookmarkStart w:id="872" w:name="_Toc414510790"/>
      <w:bookmarkStart w:id="873" w:name="_Toc416208496"/>
      <w:bookmarkStart w:id="874" w:name="_Toc160609601"/>
      <w:bookmarkStart w:id="875" w:name="_Toc422162002"/>
      <w:bookmarkStart w:id="876" w:name="_Toc425347672"/>
      <w:bookmarkStart w:id="877" w:name="_Toc439513455"/>
      <w:r>
        <w:rPr>
          <w:rFonts w:hint="eastAsia"/>
          <w:b/>
          <w:sz w:val="24"/>
        </w:rPr>
        <w:t>四、合同</w:t>
      </w:r>
      <w:bookmarkEnd w:id="859"/>
      <w:bookmarkEnd w:id="860"/>
    </w:p>
    <w:p>
      <w:pPr>
        <w:pStyle w:val="23"/>
        <w:widowControl/>
        <w:spacing w:line="360" w:lineRule="auto"/>
        <w:ind w:firstLine="424" w:firstLineChars="177"/>
        <w:jc w:val="left"/>
        <w:rPr>
          <w:rFonts w:ascii="宋体" w:hAnsi="宋体" w:cs="宋体"/>
          <w:bCs/>
          <w:sz w:val="24"/>
        </w:rPr>
      </w:pPr>
      <w:bookmarkStart w:id="878" w:name="_Toc90148931"/>
      <w:bookmarkStart w:id="879" w:name="_Toc91288857"/>
      <w:r>
        <w:rPr>
          <w:rFonts w:hint="eastAsia" w:ascii="宋体" w:hAnsi="宋体" w:cs="宋体"/>
          <w:bCs/>
          <w:sz w:val="24"/>
        </w:rPr>
        <w:t>1.</w:t>
      </w:r>
      <w:r>
        <w:rPr>
          <w:rFonts w:ascii="宋体" w:hAnsi="宋体" w:cs="宋体"/>
          <w:bCs/>
          <w:sz w:val="24"/>
        </w:rPr>
        <w:t>合同的订立</w:t>
      </w:r>
      <w:bookmarkEnd w:id="878"/>
      <w:bookmarkEnd w:id="879"/>
      <w:r>
        <w:rPr>
          <w:rFonts w:hint="eastAsia" w:ascii="宋体" w:hAnsi="宋体" w:cs="宋体"/>
          <w:bCs/>
          <w:sz w:val="24"/>
        </w:rPr>
        <w:t xml:space="preserve">。采购人应当自成交通知书发出之日起三十日内，按照磋商文件和成交供应商响应文件的约定，与成交供应商签订书面合同。采购人或者采购代理机构不得向成交供应商提出任何不合理的要求作为签订合同的条件，不得与成交供应商私下订立背离合同实质性内容的协议。 </w:t>
      </w:r>
    </w:p>
    <w:p>
      <w:pPr>
        <w:pStyle w:val="23"/>
        <w:widowControl/>
        <w:spacing w:line="360" w:lineRule="auto"/>
        <w:ind w:firstLine="424" w:firstLineChars="177"/>
        <w:jc w:val="left"/>
        <w:rPr>
          <w:rFonts w:ascii="宋体" w:hAnsi="宋体" w:cs="宋体"/>
          <w:bCs/>
          <w:sz w:val="24"/>
        </w:rPr>
      </w:pPr>
      <w:bookmarkStart w:id="880" w:name="_Toc91288858"/>
      <w:bookmarkStart w:id="881" w:name="_Toc90148932"/>
      <w:r>
        <w:rPr>
          <w:rFonts w:hint="eastAsia" w:ascii="宋体" w:hAnsi="宋体" w:cs="宋体"/>
          <w:bCs/>
          <w:sz w:val="24"/>
        </w:rPr>
        <w:t>2.</w:t>
      </w:r>
      <w:r>
        <w:rPr>
          <w:rFonts w:ascii="宋体" w:hAnsi="宋体" w:cs="宋体"/>
          <w:bCs/>
          <w:sz w:val="24"/>
        </w:rPr>
        <w:t>合同的履行</w:t>
      </w:r>
      <w:bookmarkEnd w:id="880"/>
      <w:bookmarkEnd w:id="881"/>
      <w:r>
        <w:rPr>
          <w:rFonts w:hint="eastAsia" w:ascii="宋体" w:hAnsi="宋体" w:cs="宋体"/>
          <w:bCs/>
          <w:sz w:val="24"/>
        </w:rPr>
        <w:t>。合同订立后，合同各方不得擅自变更、中止或者终止合同。项目合同履行中，采购人需追加与合同标的相同的货物、工程或者服务的，在不改变合同其他条款的前提下，可以与成交供应商签订补充合同。</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Pr>
        <w:spacing w:line="360" w:lineRule="auto"/>
        <w:jc w:val="left"/>
        <w:rPr>
          <w:b/>
          <w:sz w:val="24"/>
        </w:rPr>
      </w:pPr>
      <w:bookmarkStart w:id="882" w:name="_Toc91288859"/>
      <w:bookmarkStart w:id="883" w:name="_Toc90148933"/>
      <w:bookmarkStart w:id="884" w:name="_Toc55745681"/>
      <w:bookmarkStart w:id="885" w:name="_Toc503169263"/>
      <w:bookmarkStart w:id="886" w:name="_Toc66020776"/>
      <w:bookmarkStart w:id="887" w:name="_Toc51416537"/>
      <w:bookmarkStart w:id="888" w:name="_Toc82692201"/>
      <w:bookmarkStart w:id="889" w:name="_Toc504122278"/>
      <w:bookmarkStart w:id="890" w:name="_Toc75028787"/>
      <w:bookmarkStart w:id="891" w:name="_Toc504062542"/>
      <w:bookmarkStart w:id="892" w:name="_Toc55671115"/>
      <w:bookmarkStart w:id="893" w:name="_Toc24471641"/>
      <w:bookmarkStart w:id="894" w:name="_Toc51778298"/>
      <w:bookmarkStart w:id="895" w:name="_Toc77781876"/>
      <w:bookmarkStart w:id="896" w:name="_Toc80869749"/>
      <w:bookmarkStart w:id="897" w:name="_Toc78274976"/>
      <w:bookmarkStart w:id="898" w:name="_Toc55911495"/>
      <w:bookmarkStart w:id="899" w:name="_Toc69828235"/>
      <w:bookmarkStart w:id="900" w:name="_Toc71878608"/>
      <w:bookmarkStart w:id="901" w:name="_Toc514163578"/>
      <w:bookmarkStart w:id="902" w:name="_Toc504741274"/>
      <w:bookmarkStart w:id="903" w:name="_Toc821"/>
      <w:bookmarkStart w:id="904" w:name="_Toc513652326"/>
      <w:bookmarkStart w:id="905" w:name="_Toc10600"/>
      <w:bookmarkStart w:id="906" w:name="_Toc19347"/>
      <w:bookmarkStart w:id="907" w:name="_Toc82445268"/>
      <w:bookmarkStart w:id="908" w:name="_Toc11922012"/>
      <w:bookmarkStart w:id="909" w:name="_Toc51416860"/>
      <w:bookmarkStart w:id="910" w:name="_Toc78444620"/>
      <w:bookmarkStart w:id="911" w:name="_Toc65680726"/>
      <w:bookmarkStart w:id="912" w:name="_Toc515971210"/>
      <w:r>
        <w:rPr>
          <w:b/>
          <w:sz w:val="24"/>
        </w:rPr>
        <w:t>五</w:t>
      </w:r>
      <w:r>
        <w:rPr>
          <w:rFonts w:hint="eastAsia"/>
          <w:b/>
          <w:sz w:val="24"/>
        </w:rPr>
        <w:t>、附表</w:t>
      </w:r>
      <w:bookmarkEnd w:id="882"/>
      <w:bookmarkEnd w:id="883"/>
      <w:r>
        <w:rPr>
          <w:rFonts w:hint="eastAsia"/>
          <w:b/>
          <w:sz w:val="24"/>
        </w:rPr>
        <w:t xml:space="preserve"> </w:t>
      </w:r>
    </w:p>
    <w:p>
      <w:pPr>
        <w:widowControl/>
        <w:jc w:val="left"/>
        <w:rPr>
          <w:rFonts w:ascii="宋体" w:hAnsi="宋体" w:cs="Tahoma"/>
          <w:b/>
          <w:sz w:val="24"/>
        </w:rPr>
      </w:pPr>
      <w:bookmarkStart w:id="913" w:name="_Toc104213977"/>
      <w:bookmarkStart w:id="914" w:name="_Toc93997412"/>
      <w:bookmarkStart w:id="915" w:name="_Toc90148934"/>
      <w:bookmarkStart w:id="916" w:name="_Toc100236034"/>
      <w:bookmarkStart w:id="917" w:name="_Toc91288860"/>
      <w:r>
        <w:rPr>
          <w:rFonts w:ascii="宋体" w:hAnsi="宋体" w:cs="Tahoma"/>
          <w:b/>
          <w:sz w:val="24"/>
        </w:rPr>
        <w:br w:type="page"/>
      </w:r>
    </w:p>
    <w:p>
      <w:pPr>
        <w:spacing w:line="360" w:lineRule="auto"/>
        <w:outlineLvl w:val="1"/>
        <w:rPr>
          <w:rFonts w:ascii="宋体" w:hAnsi="宋体" w:cs="Tahoma"/>
          <w:b/>
          <w:sz w:val="24"/>
        </w:rPr>
      </w:pPr>
      <w:bookmarkStart w:id="918" w:name="_Toc149248246"/>
      <w:r>
        <w:rPr>
          <w:rFonts w:hint="eastAsia" w:ascii="宋体" w:hAnsi="宋体" w:cs="Tahoma"/>
          <w:b/>
          <w:sz w:val="24"/>
        </w:rPr>
        <w:t>附表1 资格性、符合性审查表</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pacing w:line="360" w:lineRule="auto"/>
        <w:rPr>
          <w:rFonts w:ascii="宋体" w:hAnsi="宋体" w:cs="Tahoma"/>
          <w:sz w:val="24"/>
        </w:rPr>
      </w:pPr>
      <w:r>
        <w:rPr>
          <w:rFonts w:hint="eastAsia" w:ascii="time of new roman" w:hAnsi="time of new roman"/>
          <w:sz w:val="24"/>
          <w:szCs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szCs w:val="24"/>
        </w:rPr>
        <w:t>项目编号：</w:t>
      </w:r>
      <w:r>
        <w:rPr>
          <w:rFonts w:hint="eastAsia" w:ascii="宋体" w:cs="Tahoma"/>
          <w:bCs/>
          <w:sz w:val="24"/>
        </w:rPr>
        <w:t>YL202310303</w:t>
      </w:r>
    </w:p>
    <w:tbl>
      <w:tblPr>
        <w:tblStyle w:val="17"/>
        <w:tblW w:w="0" w:type="auto"/>
        <w:tblInd w:w="0" w:type="dxa"/>
        <w:tblLayout w:type="autofit"/>
        <w:tblCellMar>
          <w:top w:w="0" w:type="dxa"/>
          <w:left w:w="0" w:type="dxa"/>
          <w:bottom w:w="0" w:type="dxa"/>
          <w:right w:w="0" w:type="dxa"/>
        </w:tblCellMar>
      </w:tblPr>
      <w:tblGrid>
        <w:gridCol w:w="751"/>
        <w:gridCol w:w="7576"/>
      </w:tblGrid>
      <w:tr>
        <w:tblPrEx>
          <w:tblCellMar>
            <w:top w:w="0" w:type="dxa"/>
            <w:left w:w="0" w:type="dxa"/>
            <w:bottom w:w="0" w:type="dxa"/>
            <w:right w:w="0" w:type="dxa"/>
          </w:tblCellMar>
        </w:tblPrEx>
        <w:tc>
          <w:tcPr>
            <w:tcW w:w="867" w:type="dxa"/>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360" w:lineRule="auto"/>
              <w:ind w:right="-120" w:rightChars="-57"/>
              <w:jc w:val="center"/>
              <w:rPr>
                <w:rFonts w:ascii="宋体" w:hAnsi="宋体"/>
                <w:b/>
                <w:sz w:val="24"/>
                <w:szCs w:val="24"/>
              </w:rPr>
            </w:pPr>
            <w:r>
              <w:rPr>
                <w:rFonts w:hint="eastAsia" w:ascii="宋体" w:hAnsi="宋体"/>
                <w:b/>
                <w:sz w:val="24"/>
                <w:szCs w:val="24"/>
              </w:rPr>
              <w:t>序号</w:t>
            </w:r>
          </w:p>
        </w:tc>
        <w:tc>
          <w:tcPr>
            <w:tcW w:w="8900" w:type="dxa"/>
            <w:tcBorders>
              <w:top w:val="single" w:color="auto" w:sz="4" w:space="0"/>
              <w:left w:val="single" w:color="auto" w:sz="4" w:space="0"/>
              <w:bottom w:val="single" w:color="000000" w:sz="4" w:space="0"/>
              <w:right w:val="single" w:color="000000" w:sz="4" w:space="0"/>
            </w:tcBorders>
            <w:vAlign w:val="center"/>
          </w:tcPr>
          <w:p>
            <w:pPr>
              <w:spacing w:line="360" w:lineRule="auto"/>
              <w:ind w:right="-120" w:rightChars="-57"/>
              <w:jc w:val="center"/>
              <w:rPr>
                <w:rFonts w:ascii="宋体" w:hAnsi="宋体"/>
                <w:b/>
                <w:sz w:val="24"/>
                <w:szCs w:val="24"/>
              </w:rPr>
            </w:pPr>
            <w:r>
              <w:rPr>
                <w:rFonts w:hint="eastAsia" w:ascii="宋体" w:hAnsi="宋体"/>
                <w:b/>
                <w:sz w:val="24"/>
                <w:szCs w:val="24"/>
              </w:rPr>
              <w:t>审查内容</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000000" w:sz="4" w:space="0"/>
              <w:right w:val="single" w:color="auto" w:sz="4" w:space="0"/>
            </w:tcBorders>
            <w:vAlign w:val="center"/>
          </w:tcPr>
          <w:p>
            <w:pPr>
              <w:pStyle w:val="24"/>
              <w:widowControl w:val="0"/>
              <w:numPr>
                <w:ilvl w:val="0"/>
                <w:numId w:val="3"/>
              </w:numPr>
              <w:pBdr>
                <w:bottom w:val="none" w:color="auto" w:sz="0" w:space="0"/>
                <w:right w:val="none" w:color="auto" w:sz="0" w:space="0"/>
              </w:pBdr>
              <w:spacing w:before="0" w:beforeAutospacing="0" w:after="0" w:afterAutospacing="0" w:line="360" w:lineRule="auto"/>
              <w:rPr>
                <w:rFonts w:asciiTheme="minorEastAsia" w:hAnsiTheme="minorEastAsia" w:eastAsiaTheme="minorEastAsia"/>
                <w:kern w:val="2"/>
                <w:sz w:val="24"/>
                <w:szCs w:val="24"/>
              </w:rPr>
            </w:pPr>
          </w:p>
        </w:tc>
        <w:tc>
          <w:tcPr>
            <w:tcW w:w="8900" w:type="dxa"/>
            <w:tcBorders>
              <w:top w:val="single" w:color="auto" w:sz="4" w:space="0"/>
              <w:left w:val="single" w:color="auto" w:sz="4" w:space="0"/>
              <w:bottom w:val="single" w:color="000000" w:sz="4" w:space="0"/>
              <w:right w:val="single" w:color="000000" w:sz="4" w:space="0"/>
            </w:tcBorders>
            <w:vAlign w:val="center"/>
          </w:tcPr>
          <w:p>
            <w:pPr>
              <w:pStyle w:val="24"/>
              <w:widowControl w:val="0"/>
              <w:pBdr>
                <w:bottom w:val="none" w:color="auto" w:sz="0" w:space="0"/>
                <w:right w:val="none" w:color="auto" w:sz="0" w:space="0"/>
              </w:pBdr>
              <w:spacing w:before="0" w:beforeAutospacing="0" w:after="0" w:afterAutospacing="0" w:line="360" w:lineRule="auto"/>
              <w:jc w:val="left"/>
              <w:rPr>
                <w:rFonts w:asciiTheme="minorEastAsia" w:hAnsiTheme="minorEastAsia" w:eastAsiaTheme="minorEastAsia"/>
                <w:kern w:val="2"/>
                <w:sz w:val="24"/>
                <w:szCs w:val="24"/>
              </w:rPr>
            </w:pPr>
            <w:r>
              <w:rPr>
                <w:rFonts w:hint="eastAsia" w:cs="宋体" w:asciiTheme="minorEastAsia" w:hAnsiTheme="minorEastAsia" w:eastAsiaTheme="minorEastAsia"/>
                <w:color w:val="000000"/>
                <w:sz w:val="24"/>
                <w:szCs w:val="24"/>
              </w:rPr>
              <w:t>符合磋商文件</w:t>
            </w:r>
            <w:r>
              <w:rPr>
                <w:rFonts w:hint="eastAsia" w:cs="宋体" w:asciiTheme="minorEastAsia" w:hAnsiTheme="minorEastAsia" w:eastAsiaTheme="minorEastAsia"/>
                <w:b/>
                <w:color w:val="000000"/>
                <w:sz w:val="24"/>
                <w:szCs w:val="24"/>
              </w:rPr>
              <w:t>“第一章  采购邀请/二、响应供应商的资格要求”</w:t>
            </w:r>
            <w:r>
              <w:rPr>
                <w:rFonts w:hint="eastAsia" w:cs="宋体" w:asciiTheme="minorEastAsia" w:hAnsiTheme="minorEastAsia" w:eastAsiaTheme="minorEastAsia"/>
                <w:color w:val="000000"/>
                <w:sz w:val="24"/>
                <w:szCs w:val="24"/>
              </w:rPr>
              <w:t>中规定的资格要求，且资料齐全。</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pStyle w:val="24"/>
              <w:widowControl w:val="0"/>
              <w:pBdr>
                <w:bottom w:val="none" w:color="auto" w:sz="0" w:space="0"/>
                <w:right w:val="none" w:color="auto" w:sz="0" w:space="0"/>
              </w:pBdr>
              <w:spacing w:before="0" w:beforeAutospacing="0" w:after="0" w:afterAutospacing="0"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sz w:val="24"/>
              </w:rPr>
              <w:t>响应</w:t>
            </w:r>
            <w:r>
              <w:rPr>
                <w:rFonts w:hint="eastAsia" w:cs="宋体" w:asciiTheme="minorEastAsia" w:hAnsiTheme="minorEastAsia" w:eastAsiaTheme="minorEastAsia"/>
                <w:sz w:val="24"/>
                <w:szCs w:val="24"/>
              </w:rPr>
              <w:t>和响应供应商资格声明函符合磋商文件要求。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满足磋商文件提出的服务期</w:t>
            </w:r>
            <w:r>
              <w:rPr>
                <w:rFonts w:hint="eastAsia" w:asciiTheme="minorEastAsia" w:hAnsiTheme="minorEastAsia" w:eastAsiaTheme="minorEastAsia"/>
                <w:sz w:val="24"/>
                <w:szCs w:val="28"/>
                <w:shd w:val="clear" w:color="auto" w:fill="FFFFFF"/>
              </w:rPr>
              <w:t>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w:t>
            </w:r>
            <w:r>
              <w:rPr>
                <w:rFonts w:hint="eastAsia" w:asciiTheme="minorEastAsia" w:hAnsiTheme="minorEastAsia" w:eastAsiaTheme="minorEastAsia"/>
                <w:sz w:val="24"/>
              </w:rPr>
              <w:t>响应</w:t>
            </w:r>
            <w:r>
              <w:rPr>
                <w:rFonts w:hint="eastAsia" w:cs="宋体" w:asciiTheme="minorEastAsia" w:hAnsiTheme="minorEastAsia" w:eastAsiaTheme="minorEastAsia"/>
                <w:sz w:val="24"/>
                <w:szCs w:val="24"/>
              </w:rPr>
              <w:t>有效期</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具备有效的法定代表人证明书/法人授权委托书</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响应文件签署合格</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sz w:val="24"/>
              </w:rPr>
              <w:t>响应</w:t>
            </w:r>
            <w:r>
              <w:rPr>
                <w:rFonts w:hint="eastAsia" w:asciiTheme="minorEastAsia" w:hAnsiTheme="minorEastAsia" w:eastAsiaTheme="minorEastAsia"/>
                <w:sz w:val="24"/>
                <w:szCs w:val="24"/>
              </w:rPr>
              <w:t>报价固定唯一，且</w:t>
            </w:r>
            <w:r>
              <w:rPr>
                <w:rFonts w:hint="eastAsia" w:asciiTheme="minorEastAsia" w:hAnsiTheme="minorEastAsia" w:eastAsiaTheme="minorEastAsia"/>
                <w:sz w:val="24"/>
              </w:rPr>
              <w:t>响应</w:t>
            </w:r>
            <w:r>
              <w:rPr>
                <w:rFonts w:hint="eastAsia" w:asciiTheme="minorEastAsia" w:hAnsiTheme="minorEastAsia" w:eastAsiaTheme="minorEastAsia"/>
                <w:sz w:val="24"/>
                <w:szCs w:val="24"/>
              </w:rPr>
              <w:t>报价没有超过最高限价</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没有被评审委员会认定为低于企业成本竞标</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rPr>
              <w:t>完全满足磋商文件中的“★”条款要求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无效投标情形：（1）响应文件提供虚假材料；（2）评审期间，供应商没有按磋商小组的要求提交有效的澄清、说明、补正，或提交的澄清、说明、补正改变了采购、响应文件的实质性内容；（3）供应商对采购人、采购代理机构、磋商小组及其工作人员施加影响，有碍公平、公正；（4）采购文件中规定的其它无效投标情形；（5）法律法规规定属于响应无效的其他情形。</w:t>
            </w:r>
          </w:p>
        </w:tc>
      </w:tr>
    </w:tbl>
    <w:p>
      <w:pPr>
        <w:spacing w:line="360" w:lineRule="auto"/>
        <w:outlineLvl w:val="1"/>
        <w:rPr>
          <w:b/>
        </w:rPr>
      </w:pPr>
      <w:r>
        <w:br w:type="page"/>
      </w:r>
      <w:bookmarkStart w:id="919" w:name="_Toc488321033"/>
      <w:bookmarkStart w:id="920" w:name="_Toc499278277"/>
      <w:bookmarkStart w:id="921" w:name="_Toc477691932"/>
      <w:bookmarkStart w:id="922" w:name="_Toc482195779"/>
      <w:bookmarkStart w:id="923" w:name="_Toc55745683"/>
      <w:bookmarkStart w:id="924" w:name="_Toc104213978"/>
      <w:bookmarkStart w:id="925" w:name="_Toc498978653"/>
      <w:bookmarkStart w:id="926" w:name="_Toc12998"/>
      <w:bookmarkStart w:id="927" w:name="_Toc418023345"/>
      <w:bookmarkStart w:id="928" w:name="_Toc422162004"/>
      <w:bookmarkStart w:id="929" w:name="_Toc488422463"/>
      <w:bookmarkStart w:id="930" w:name="_Toc439679280"/>
      <w:bookmarkStart w:id="931" w:name="_Toc51416539"/>
      <w:bookmarkStart w:id="932" w:name="_Toc55911497"/>
      <w:bookmarkStart w:id="933" w:name="_Toc149248247"/>
      <w:bookmarkStart w:id="934" w:name="_Toc468450958"/>
      <w:bookmarkStart w:id="935" w:name="_Toc27657"/>
      <w:bookmarkStart w:id="936" w:name="_Toc504062544"/>
      <w:bookmarkStart w:id="937" w:name="_Toc93997413"/>
      <w:bookmarkStart w:id="938" w:name="_Toc490033964"/>
      <w:bookmarkStart w:id="939" w:name="_Toc78274978"/>
      <w:bookmarkStart w:id="940" w:name="_Toc11922014"/>
      <w:bookmarkStart w:id="941" w:name="_Toc498079543"/>
      <w:bookmarkStart w:id="942" w:name="_Toc439513457"/>
      <w:bookmarkStart w:id="943" w:name="_Toc80869751"/>
      <w:bookmarkStart w:id="944" w:name="_Toc489974557"/>
      <w:bookmarkStart w:id="945" w:name="_Toc422865433"/>
      <w:bookmarkStart w:id="946" w:name="_Toc482255091"/>
      <w:bookmarkStart w:id="947" w:name="_Toc489892979"/>
      <w:bookmarkStart w:id="948" w:name="_Toc479343993"/>
      <w:bookmarkStart w:id="949" w:name="_Toc416208498"/>
      <w:bookmarkStart w:id="950" w:name="_Toc438508609"/>
      <w:bookmarkStart w:id="951" w:name="_Toc513652328"/>
      <w:bookmarkStart w:id="952" w:name="_Toc447233595"/>
      <w:bookmarkStart w:id="953" w:name="_Toc438722142"/>
      <w:bookmarkStart w:id="954" w:name="_Toc468457009"/>
      <w:bookmarkStart w:id="955" w:name="_Toc496096042"/>
      <w:bookmarkStart w:id="956" w:name="_Toc498265698"/>
      <w:bookmarkStart w:id="957" w:name="_Toc414510792"/>
      <w:bookmarkStart w:id="958" w:name="_Toc69828237"/>
      <w:bookmarkStart w:id="959" w:name="_Toc487101026"/>
      <w:bookmarkStart w:id="960" w:name="_Toc482365851"/>
      <w:bookmarkStart w:id="961" w:name="_Toc425347674"/>
      <w:bookmarkStart w:id="962" w:name="_Toc514163580"/>
      <w:bookmarkStart w:id="963" w:name="_Toc475804841"/>
      <w:bookmarkStart w:id="964" w:name="_Toc100236035"/>
      <w:bookmarkStart w:id="965" w:name="_Toc475805898"/>
      <w:bookmarkStart w:id="966" w:name="_Toc78444622"/>
      <w:bookmarkStart w:id="967" w:name="_Toc77781878"/>
      <w:bookmarkStart w:id="968" w:name="_Toc477807604"/>
      <w:bookmarkStart w:id="969" w:name="_Toc504122280"/>
      <w:bookmarkStart w:id="970" w:name="_Toc71878610"/>
      <w:bookmarkStart w:id="971" w:name="_Toc503169265"/>
      <w:bookmarkStart w:id="972" w:name="_Toc82692203"/>
      <w:bookmarkStart w:id="973" w:name="_Toc51778300"/>
      <w:bookmarkStart w:id="974" w:name="_Toc75028789"/>
      <w:bookmarkStart w:id="975" w:name="_Toc515971212"/>
      <w:bookmarkStart w:id="976" w:name="_Toc55671117"/>
      <w:bookmarkStart w:id="977" w:name="_Toc91"/>
      <w:bookmarkStart w:id="978" w:name="_Toc496045548"/>
      <w:bookmarkStart w:id="979" w:name="_Toc439513173"/>
      <w:bookmarkStart w:id="980" w:name="_Toc438513746"/>
      <w:bookmarkStart w:id="981" w:name="_Toc66020778"/>
      <w:bookmarkStart w:id="982" w:name="_Toc82445270"/>
      <w:bookmarkStart w:id="983" w:name="_Toc91288861"/>
      <w:bookmarkStart w:id="984" w:name="_Toc51416862"/>
      <w:bookmarkStart w:id="985" w:name="_Toc496123836"/>
      <w:bookmarkStart w:id="986" w:name="_Toc504741276"/>
      <w:bookmarkStart w:id="987" w:name="_Toc65680728"/>
      <w:bookmarkStart w:id="988" w:name="_Toc90148935"/>
      <w:bookmarkStart w:id="989" w:name="_Toc24471643"/>
      <w:commentRangeStart w:id="8"/>
      <w:r>
        <w:rPr>
          <w:rFonts w:hint="eastAsia" w:ascii="宋体" w:hAnsi="宋体" w:cs="Tahoma"/>
          <w:b/>
          <w:sz w:val="24"/>
        </w:rPr>
        <w:t>附表2 技术响应性评审表</w:t>
      </w:r>
      <w:commentRangeEnd w:id="8"/>
      <w:r>
        <w:commentReference w:id="8"/>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spacing w:line="360" w:lineRule="auto"/>
        <w:ind w:right="25" w:rightChars="12"/>
        <w:rPr>
          <w:rFonts w:ascii="宋体" w:hAnsi="宋体" w:cs="Tahoma"/>
          <w:sz w:val="24"/>
        </w:rPr>
      </w:pPr>
      <w:r>
        <w:rPr>
          <w:rFonts w:hint="eastAsia" w:ascii="time of new roman" w:hAnsi="time of new roman"/>
          <w:sz w:val="24"/>
          <w:szCs w:val="24"/>
        </w:rPr>
        <w:t>项目名称：</w:t>
      </w:r>
      <w:r>
        <w:rPr>
          <w:rFonts w:hint="eastAsia" w:ascii="宋体" w:hAnsi="宋体" w:cs="Tahoma"/>
          <w:sz w:val="24"/>
        </w:rPr>
        <w:t xml:space="preserve">2023年广东省（阳江）海上大型综合应急演习组织服务采购项目 </w:t>
      </w:r>
    </w:p>
    <w:p>
      <w:pPr>
        <w:spacing w:line="360" w:lineRule="auto"/>
        <w:ind w:right="25" w:rightChars="12"/>
        <w:rPr>
          <w:rFonts w:ascii="宋体" w:hAnsi="宋体"/>
          <w:sz w:val="24"/>
          <w:szCs w:val="24"/>
        </w:rPr>
      </w:pPr>
      <w:r>
        <w:rPr>
          <w:rFonts w:hint="eastAsia" w:ascii="宋体" w:hAnsi="宋体"/>
          <w:sz w:val="24"/>
          <w:szCs w:val="24"/>
        </w:rPr>
        <w:t>项目编号：</w:t>
      </w:r>
      <w:r>
        <w:rPr>
          <w:rFonts w:hint="eastAsia" w:ascii="宋体" w:cs="Tahoma"/>
          <w:bCs/>
          <w:sz w:val="24"/>
        </w:rPr>
        <w:t>YL202310303</w:t>
      </w:r>
    </w:p>
    <w:tbl>
      <w:tblPr>
        <w:tblStyle w:val="17"/>
        <w:tblW w:w="5000" w:type="pct"/>
        <w:jc w:val="center"/>
        <w:tblLayout w:type="autofit"/>
        <w:tblCellMar>
          <w:top w:w="0" w:type="dxa"/>
          <w:left w:w="108" w:type="dxa"/>
          <w:bottom w:w="0" w:type="dxa"/>
          <w:right w:w="108" w:type="dxa"/>
        </w:tblCellMar>
      </w:tblPr>
      <w:tblGrid>
        <w:gridCol w:w="697"/>
        <w:gridCol w:w="1214"/>
        <w:gridCol w:w="726"/>
        <w:gridCol w:w="5885"/>
      </w:tblGrid>
      <w:tr>
        <w:tblPrEx>
          <w:tblCellMar>
            <w:top w:w="0" w:type="dxa"/>
            <w:left w:w="108" w:type="dxa"/>
            <w:bottom w:w="0" w:type="dxa"/>
            <w:right w:w="108" w:type="dxa"/>
          </w:tblCellMar>
        </w:tblPrEx>
        <w:trPr>
          <w:trHeight w:val="703" w:hRule="atLeast"/>
          <w:jc w:val="center"/>
        </w:trPr>
        <w:tc>
          <w:tcPr>
            <w:tcW w:w="409" w:type="pct"/>
            <w:tcBorders>
              <w:top w:val="single" w:color="auto" w:sz="8" w:space="0"/>
              <w:left w:val="single" w:color="auto" w:sz="8" w:space="0"/>
              <w:bottom w:val="single" w:color="auto" w:sz="6" w:space="0"/>
              <w:right w:val="single" w:color="auto" w:sz="4" w:space="0"/>
            </w:tcBorders>
            <w:vAlign w:val="center"/>
          </w:tcPr>
          <w:p>
            <w:pPr>
              <w:spacing w:line="276" w:lineRule="auto"/>
              <w:jc w:val="center"/>
              <w:rPr>
                <w:rFonts w:ascii="宋体" w:hAnsi="宋体"/>
                <w:b/>
                <w:sz w:val="24"/>
                <w:szCs w:val="24"/>
              </w:rPr>
            </w:pPr>
            <w:r>
              <w:rPr>
                <w:rFonts w:hint="eastAsia" w:ascii="宋体" w:hAnsi="宋体"/>
                <w:b/>
                <w:sz w:val="24"/>
                <w:szCs w:val="24"/>
              </w:rPr>
              <w:t>序号</w:t>
            </w:r>
          </w:p>
        </w:tc>
        <w:tc>
          <w:tcPr>
            <w:tcW w:w="712" w:type="pct"/>
            <w:tcBorders>
              <w:top w:val="single" w:color="auto" w:sz="8" w:space="0"/>
              <w:left w:val="single" w:color="auto" w:sz="4"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评审分项</w:t>
            </w:r>
          </w:p>
        </w:tc>
        <w:tc>
          <w:tcPr>
            <w:tcW w:w="426" w:type="pct"/>
            <w:tcBorders>
              <w:top w:val="single" w:color="auto" w:sz="8" w:space="0"/>
              <w:left w:val="single" w:color="auto" w:sz="6"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分值</w:t>
            </w:r>
          </w:p>
        </w:tc>
        <w:tc>
          <w:tcPr>
            <w:tcW w:w="3452" w:type="pct"/>
            <w:tcBorders>
              <w:top w:val="single" w:color="auto" w:sz="8" w:space="0"/>
              <w:left w:val="single" w:color="auto" w:sz="6"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评审标准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1</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对本项目的理解、重点难点分析</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提供的</w:t>
            </w:r>
            <w:r>
              <w:rPr>
                <w:rFonts w:asciiTheme="minorEastAsia" w:hAnsiTheme="minorEastAsia" w:eastAsiaTheme="minorEastAsia"/>
                <w:sz w:val="24"/>
                <w:szCs w:val="24"/>
              </w:rPr>
              <w:t>对本项目的</w:t>
            </w:r>
            <w:r>
              <w:rPr>
                <w:rFonts w:hint="eastAsia" w:asciiTheme="minorEastAsia" w:hAnsiTheme="minorEastAsia" w:eastAsiaTheme="minorEastAsia"/>
                <w:sz w:val="24"/>
                <w:szCs w:val="24"/>
              </w:rPr>
              <w:t>理解、</w:t>
            </w:r>
            <w:r>
              <w:rPr>
                <w:rFonts w:asciiTheme="minorEastAsia" w:hAnsiTheme="minorEastAsia" w:eastAsiaTheme="minorEastAsia"/>
                <w:sz w:val="24"/>
                <w:szCs w:val="24"/>
              </w:rPr>
              <w:t>重点难点分析进行</w:t>
            </w:r>
            <w:r>
              <w:rPr>
                <w:rFonts w:hint="eastAsia" w:asciiTheme="minorEastAsia" w:hAnsiTheme="minorEastAsia" w:eastAsiaTheme="minorEastAsia"/>
                <w:sz w:val="24"/>
                <w:szCs w:val="24"/>
              </w:rPr>
              <w:t>评审：</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1.有丰富的同类型项目经验，对本项目的服务内容理解</w:t>
            </w:r>
            <w:r>
              <w:rPr>
                <w:rFonts w:asciiTheme="minorEastAsia" w:hAnsiTheme="minorEastAsia" w:eastAsiaTheme="minorEastAsia"/>
                <w:sz w:val="24"/>
                <w:szCs w:val="24"/>
              </w:rPr>
              <w:t>透彻，</w:t>
            </w:r>
            <w:r>
              <w:rPr>
                <w:rFonts w:hint="eastAsia" w:asciiTheme="minorEastAsia" w:hAnsiTheme="minorEastAsia" w:eastAsiaTheme="minorEastAsia"/>
                <w:sz w:val="24"/>
                <w:szCs w:val="24"/>
              </w:rPr>
              <w:t>能够</w:t>
            </w:r>
            <w:r>
              <w:rPr>
                <w:rFonts w:asciiTheme="minorEastAsia" w:hAnsiTheme="minorEastAsia" w:eastAsiaTheme="minorEastAsia"/>
                <w:sz w:val="24"/>
                <w:szCs w:val="24"/>
              </w:rPr>
              <w:t>对本项目需求的特点、重点难点分析准确、清晰，措施合理、可靠，得</w:t>
            </w:r>
            <w:r>
              <w:rPr>
                <w:rFonts w:hint="eastAsia" w:asciiTheme="minorEastAsia" w:hAnsiTheme="minorEastAsia" w:eastAsiaTheme="minorEastAsia"/>
                <w:sz w:val="24"/>
                <w:szCs w:val="24"/>
              </w:rPr>
              <w:t>10</w:t>
            </w:r>
            <w:r>
              <w:rPr>
                <w:rFonts w:asciiTheme="minorEastAsia" w:hAnsiTheme="minorEastAsia" w:eastAsiaTheme="minorEastAsia"/>
                <w:sz w:val="24"/>
                <w:szCs w:val="24"/>
              </w:rPr>
              <w:t>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2.有基本的同类型项目经验，能够对本项目的服务内容有基本的理解，但对本项目需求书特点、</w:t>
            </w:r>
            <w:r>
              <w:rPr>
                <w:rFonts w:asciiTheme="minorEastAsia" w:hAnsiTheme="minorEastAsia" w:eastAsiaTheme="minorEastAsia"/>
                <w:sz w:val="24"/>
                <w:szCs w:val="24"/>
              </w:rPr>
              <w:t>重点难点分析不太准确、部分内容模糊</w:t>
            </w:r>
            <w:r>
              <w:rPr>
                <w:rFonts w:hint="eastAsia" w:asciiTheme="minorEastAsia" w:hAnsiTheme="minorEastAsia" w:eastAsiaTheme="minorEastAsia"/>
                <w:sz w:val="24"/>
                <w:szCs w:val="24"/>
              </w:rPr>
              <w:t>，</w:t>
            </w:r>
            <w:r>
              <w:rPr>
                <w:rFonts w:asciiTheme="minorEastAsia" w:hAnsiTheme="minorEastAsia" w:eastAsiaTheme="minorEastAsia"/>
                <w:sz w:val="24"/>
                <w:szCs w:val="24"/>
              </w:rPr>
              <w:t>措施合理性一般</w:t>
            </w:r>
            <w:r>
              <w:rPr>
                <w:rFonts w:hint="eastAsia" w:asciiTheme="minorEastAsia" w:hAnsiTheme="minorEastAsia" w:eastAsiaTheme="minorEastAsia"/>
                <w:sz w:val="24"/>
                <w:szCs w:val="24"/>
              </w:rPr>
              <w:t>，</w:t>
            </w:r>
            <w:r>
              <w:rPr>
                <w:rFonts w:asciiTheme="minorEastAsia" w:hAnsiTheme="minorEastAsia" w:eastAsiaTheme="minorEastAsia"/>
                <w:sz w:val="24"/>
                <w:szCs w:val="24"/>
              </w:rPr>
              <w:t>可靠性一般</w:t>
            </w:r>
            <w:r>
              <w:rPr>
                <w:rFonts w:hint="eastAsia" w:asciiTheme="minorEastAsia" w:hAnsiTheme="minorEastAsia" w:eastAsiaTheme="minorEastAsia"/>
                <w:sz w:val="24"/>
                <w:szCs w:val="24"/>
              </w:rPr>
              <w:t>，</w:t>
            </w:r>
            <w:r>
              <w:rPr>
                <w:rFonts w:asciiTheme="minorEastAsia" w:hAnsiTheme="minorEastAsia" w:eastAsiaTheme="minorEastAsia"/>
                <w:sz w:val="24"/>
                <w:szCs w:val="24"/>
              </w:rPr>
              <w:t>得</w:t>
            </w:r>
            <w:r>
              <w:rPr>
                <w:rFonts w:hint="eastAsia" w:asciiTheme="minorEastAsia" w:hAnsiTheme="minorEastAsia" w:eastAsiaTheme="minorEastAsia"/>
                <w:sz w:val="24"/>
                <w:szCs w:val="24"/>
              </w:rPr>
              <w:t>6分；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3.没有同类型项目经验，不太能够理解本项目服务内容，对本项目需求书特点、重点难点分析简单，内容模糊，措施合理性。可靠性低，得2分；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2</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总体工作思路</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提供的</w:t>
            </w:r>
            <w:r>
              <w:rPr>
                <w:rFonts w:asciiTheme="minorEastAsia" w:hAnsiTheme="minorEastAsia" w:eastAsiaTheme="minorEastAsia"/>
                <w:sz w:val="24"/>
                <w:szCs w:val="24"/>
              </w:rPr>
              <w:t>总体工作思路</w:t>
            </w:r>
            <w:r>
              <w:rPr>
                <w:rFonts w:hint="eastAsia" w:asciiTheme="minorEastAsia" w:hAnsiTheme="minorEastAsia" w:eastAsiaTheme="minorEastAsia"/>
                <w:sz w:val="24"/>
                <w:szCs w:val="24"/>
              </w:rPr>
              <w:t>（包括但不限于工作方式、工作方法、工作流程等）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1.能够提供详细的工作思路，条理清晰，</w:t>
            </w:r>
            <w:r>
              <w:rPr>
                <w:rFonts w:asciiTheme="minorEastAsia" w:hAnsiTheme="minorEastAsia" w:eastAsiaTheme="minorEastAsia"/>
                <w:sz w:val="24"/>
                <w:szCs w:val="24"/>
              </w:rPr>
              <w:t>工作方法</w:t>
            </w:r>
            <w:r>
              <w:rPr>
                <w:rFonts w:hint="eastAsia" w:asciiTheme="minorEastAsia" w:hAnsiTheme="minorEastAsia" w:eastAsiaTheme="minorEastAsia"/>
                <w:sz w:val="24"/>
                <w:szCs w:val="24"/>
              </w:rPr>
              <w:t>明确、</w:t>
            </w:r>
            <w:r>
              <w:rPr>
                <w:rFonts w:asciiTheme="minorEastAsia" w:hAnsiTheme="minorEastAsia" w:eastAsiaTheme="minorEastAsia"/>
                <w:sz w:val="24"/>
                <w:szCs w:val="24"/>
              </w:rPr>
              <w:t>可行</w:t>
            </w:r>
            <w:r>
              <w:rPr>
                <w:rFonts w:hint="eastAsia" w:asciiTheme="minorEastAsia" w:hAnsiTheme="minorEastAsia" w:eastAsiaTheme="minorEastAsia"/>
                <w:sz w:val="24"/>
                <w:szCs w:val="24"/>
              </w:rPr>
              <w:t>，</w:t>
            </w:r>
            <w:r>
              <w:rPr>
                <w:rFonts w:asciiTheme="minorEastAsia" w:hAnsiTheme="minorEastAsia" w:eastAsiaTheme="minorEastAsia"/>
                <w:sz w:val="24"/>
                <w:szCs w:val="24"/>
              </w:rPr>
              <w:t>工作流程清晰</w:t>
            </w:r>
            <w:r>
              <w:rPr>
                <w:rFonts w:hint="eastAsia" w:asciiTheme="minorEastAsia" w:hAnsiTheme="minorEastAsia" w:eastAsiaTheme="minorEastAsia"/>
                <w:sz w:val="24"/>
                <w:szCs w:val="24"/>
              </w:rPr>
              <w:t>、科学</w:t>
            </w:r>
            <w:r>
              <w:rPr>
                <w:rFonts w:asciiTheme="minorEastAsia" w:hAnsiTheme="minorEastAsia" w:eastAsiaTheme="minorEastAsia"/>
                <w:sz w:val="24"/>
                <w:szCs w:val="24"/>
              </w:rPr>
              <w:t>，完全符合本项目的服务要求</w:t>
            </w:r>
            <w:r>
              <w:rPr>
                <w:rFonts w:hint="eastAsia" w:asciiTheme="minorEastAsia" w:hAnsiTheme="minorEastAsia" w:eastAsiaTheme="minorEastAsia"/>
                <w:sz w:val="24"/>
                <w:szCs w:val="24"/>
              </w:rPr>
              <w:t>，</w:t>
            </w:r>
            <w:r>
              <w:rPr>
                <w:rFonts w:asciiTheme="minorEastAsia" w:hAnsiTheme="minorEastAsia" w:eastAsiaTheme="minorEastAsia"/>
                <w:sz w:val="24"/>
                <w:szCs w:val="24"/>
              </w:rPr>
              <w:t>得</w:t>
            </w:r>
            <w:r>
              <w:rPr>
                <w:rFonts w:hint="eastAsia" w:asciiTheme="minorEastAsia" w:hAnsiTheme="minorEastAsia" w:eastAsiaTheme="minorEastAsia"/>
                <w:sz w:val="24"/>
                <w:szCs w:val="24"/>
              </w:rPr>
              <w:t>10分；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提供的工作思路有基本的条理</w:t>
            </w:r>
            <w:r>
              <w:rPr>
                <w:rFonts w:hint="eastAsia" w:asciiTheme="minorEastAsia" w:hAnsiTheme="minorEastAsia" w:eastAsiaTheme="minorEastAsia"/>
                <w:sz w:val="24"/>
                <w:szCs w:val="24"/>
              </w:rPr>
              <w:t>，能够提供工作方法和工作流程，但内容部分含糊不清晰，基本能够符合本项目的服务要求，得6分；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3.提供的工作思路含糊，不太具有条理性，内容不全面，不太能够符合本项目的服务要求，得2分；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3</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项目实施方案</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供应商提供的项目实施方案</w:t>
            </w:r>
            <w:r>
              <w:rPr>
                <w:rFonts w:hint="eastAsia" w:asciiTheme="minorEastAsia" w:hAnsiTheme="minorEastAsia" w:eastAsiaTheme="minorEastAsia"/>
                <w:sz w:val="24"/>
                <w:szCs w:val="24"/>
              </w:rPr>
              <w:t>（包括但不限于制定演练方案、编写演练脚本、安排演练日程、分配演练资源、协调演练参与方、总结与评估等）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1.提供的方案完整全面、内容清晰，能够结合以往的工作经验，编制详细的演练方案和脚本，日程安排完全满足项目要求，能够合理安排演练资源、提供详细的协调方案，完全能够保障项目的顺利进行，得15分；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2.提供的方案不太完整全面、但提供的内容基本清晰，能够编制基本的演练方案和脚本，日程安排基本能够满足项目要求，但是不太能够安排演练资源、协调方案不太清晰，基本能够保障项目的顺利进行，得9分；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提供的方案缺少大部分，内容简单，不能够结合以往的工作经验编制详细的演练方案和脚本或编制的内容模糊，提供的日程安排不太符合项目要求，不能够安排演练资源，没有提供协调方案或内容简单，不太能够保障项目的顺利进行，得3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414"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4</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视频拍摄和直播方案</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根据响应供应商提供的视频拍摄和直播方案(包括但不限于拍摄演练全过程、拍摄串场视频、提供演练各会场之间的视频直播服务、提供导播设备和其他相关技术支持、提供直播相关的其他服务等) 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1.方案清晰、完整、明确、可操作性强，符合项目实际情况，人员、设备配备充足，技术支撑到位，得15分；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2.方案清晰、但有部分缺失，具有一定操作性，基本符合项目实际情况，提供的人员、设备配备基本充足，技术支撑基本到位，得9分；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3.方案简单且不全面，操作性一般，不太符合项目实际情况，人员、设备配备不足，难以提供有效的技术支持，得3分；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61"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5</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质量保证措施</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asciiTheme="minorEastAsia" w:hAnsiTheme="minorEastAsia" w:eastAsiaTheme="minorEastAsia"/>
                <w:sz w:val="24"/>
                <w:szCs w:val="24"/>
              </w:rPr>
              <w:t>对</w:t>
            </w:r>
            <w:r>
              <w:rPr>
                <w:rFonts w:hint="eastAsia" w:asciiTheme="minorEastAsia" w:hAnsiTheme="minorEastAsia" w:eastAsiaTheme="minorEastAsia"/>
                <w:sz w:val="24"/>
                <w:szCs w:val="24"/>
              </w:rPr>
              <w:t>响应</w:t>
            </w:r>
            <w:r>
              <w:rPr>
                <w:rFonts w:asciiTheme="minorEastAsia" w:hAnsiTheme="minorEastAsia" w:eastAsiaTheme="minorEastAsia"/>
                <w:sz w:val="24"/>
                <w:szCs w:val="24"/>
              </w:rPr>
              <w:t>供应商提供的质量保证措施</w:t>
            </w:r>
            <w:r>
              <w:rPr>
                <w:rFonts w:hint="eastAsia" w:asciiTheme="minorEastAsia" w:hAnsiTheme="minorEastAsia" w:eastAsiaTheme="minorEastAsia"/>
                <w:sz w:val="24"/>
                <w:szCs w:val="24"/>
              </w:rPr>
              <w:t>（包括但不限于项目管理体系、质量保证措施等）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具备</w:t>
            </w:r>
            <w:r>
              <w:rPr>
                <w:rFonts w:hint="eastAsia" w:asciiTheme="minorEastAsia" w:hAnsiTheme="minorEastAsia" w:eastAsiaTheme="minorEastAsia"/>
                <w:sz w:val="24"/>
                <w:szCs w:val="24"/>
              </w:rPr>
              <w:t>完善</w:t>
            </w:r>
            <w:r>
              <w:rPr>
                <w:rFonts w:asciiTheme="minorEastAsia" w:hAnsiTheme="minorEastAsia" w:eastAsiaTheme="minorEastAsia"/>
                <w:sz w:val="24"/>
                <w:szCs w:val="24"/>
              </w:rPr>
              <w:t>、科学的</w:t>
            </w:r>
            <w:r>
              <w:rPr>
                <w:rFonts w:hint="eastAsia" w:asciiTheme="minorEastAsia" w:hAnsiTheme="minorEastAsia" w:eastAsiaTheme="minorEastAsia"/>
                <w:sz w:val="24"/>
                <w:szCs w:val="24"/>
              </w:rPr>
              <w:t>项目</w:t>
            </w:r>
            <w:r>
              <w:rPr>
                <w:rFonts w:asciiTheme="minorEastAsia" w:hAnsiTheme="minorEastAsia" w:eastAsiaTheme="minorEastAsia"/>
                <w:sz w:val="24"/>
                <w:szCs w:val="24"/>
              </w:rPr>
              <w:t>管理体系，</w:t>
            </w:r>
            <w:r>
              <w:rPr>
                <w:rFonts w:hint="eastAsia" w:asciiTheme="minorEastAsia" w:hAnsiTheme="minorEastAsia" w:eastAsiaTheme="minorEastAsia"/>
                <w:sz w:val="24"/>
                <w:szCs w:val="24"/>
              </w:rPr>
              <w:t>质量保证措施</w:t>
            </w:r>
            <w:r>
              <w:rPr>
                <w:rFonts w:asciiTheme="minorEastAsia" w:hAnsiTheme="minorEastAsia" w:eastAsiaTheme="minorEastAsia"/>
                <w:sz w:val="24"/>
                <w:szCs w:val="24"/>
              </w:rPr>
              <w:t>全面详实、合理，对项目计划、需求、成果和质量等能够进行科学</w:t>
            </w:r>
            <w:r>
              <w:rPr>
                <w:rFonts w:hint="eastAsia" w:asciiTheme="minorEastAsia" w:hAnsiTheme="minorEastAsia" w:eastAsiaTheme="minorEastAsia"/>
                <w:sz w:val="24"/>
                <w:szCs w:val="24"/>
              </w:rPr>
              <w:t>、有效</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贴合</w:t>
            </w:r>
            <w:r>
              <w:rPr>
                <w:rFonts w:asciiTheme="minorEastAsia" w:hAnsiTheme="minorEastAsia" w:eastAsiaTheme="minorEastAsia"/>
                <w:sz w:val="24"/>
                <w:szCs w:val="24"/>
              </w:rPr>
              <w:t>项目实际</w:t>
            </w:r>
            <w:r>
              <w:rPr>
                <w:rFonts w:hint="eastAsia" w:asciiTheme="minorEastAsia" w:hAnsiTheme="minorEastAsia" w:eastAsiaTheme="minorEastAsia"/>
                <w:sz w:val="24"/>
                <w:szCs w:val="24"/>
              </w:rPr>
              <w:t>情况</w:t>
            </w:r>
            <w:r>
              <w:rPr>
                <w:rFonts w:asciiTheme="minorEastAsia" w:hAnsiTheme="minorEastAsia" w:eastAsiaTheme="minorEastAsia"/>
                <w:sz w:val="24"/>
                <w:szCs w:val="24"/>
              </w:rPr>
              <w:t>，可操作性</w:t>
            </w:r>
            <w:r>
              <w:rPr>
                <w:rFonts w:hint="eastAsia" w:asciiTheme="minorEastAsia" w:hAnsiTheme="minorEastAsia" w:eastAsiaTheme="minorEastAsia"/>
                <w:sz w:val="24"/>
                <w:szCs w:val="24"/>
              </w:rPr>
              <w:t>强</w:t>
            </w:r>
            <w:r>
              <w:rPr>
                <w:rFonts w:asciiTheme="minorEastAsia" w:hAnsiTheme="minorEastAsia" w:eastAsiaTheme="minorEastAsia"/>
                <w:sz w:val="24"/>
                <w:szCs w:val="24"/>
              </w:rPr>
              <w:t xml:space="preserve">，得10分；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2.项目</w:t>
            </w:r>
            <w:r>
              <w:rPr>
                <w:rFonts w:asciiTheme="minorEastAsia" w:hAnsiTheme="minorEastAsia" w:eastAsiaTheme="minorEastAsia"/>
                <w:sz w:val="24"/>
                <w:szCs w:val="24"/>
              </w:rPr>
              <w:t>管理体系</w:t>
            </w:r>
            <w:r>
              <w:rPr>
                <w:rFonts w:hint="eastAsia" w:asciiTheme="minorEastAsia" w:hAnsiTheme="minorEastAsia" w:eastAsiaTheme="minorEastAsia"/>
                <w:sz w:val="24"/>
                <w:szCs w:val="24"/>
              </w:rPr>
              <w:t>基本完善、科学</w:t>
            </w:r>
            <w:r>
              <w:rPr>
                <w:rFonts w:asciiTheme="minorEastAsia" w:hAnsiTheme="minorEastAsia" w:eastAsiaTheme="minorEastAsia"/>
                <w:sz w:val="24"/>
                <w:szCs w:val="24"/>
              </w:rPr>
              <w:t>，但</w:t>
            </w:r>
            <w:r>
              <w:rPr>
                <w:rFonts w:hint="eastAsia" w:asciiTheme="minorEastAsia" w:hAnsiTheme="minorEastAsia" w:eastAsiaTheme="minorEastAsia"/>
                <w:sz w:val="24"/>
                <w:szCs w:val="24"/>
              </w:rPr>
              <w:t>质量保证措施部分不太清晰、</w:t>
            </w:r>
            <w:r>
              <w:rPr>
                <w:rFonts w:asciiTheme="minorEastAsia" w:hAnsiTheme="minorEastAsia" w:eastAsiaTheme="minorEastAsia"/>
                <w:sz w:val="24"/>
                <w:szCs w:val="24"/>
              </w:rPr>
              <w:t>合理性一般，对项目计划、需求、成果和质量等基本能够进行管理，具有一定的可操作性，得</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3.项目</w:t>
            </w:r>
            <w:r>
              <w:rPr>
                <w:rFonts w:asciiTheme="minorEastAsia" w:hAnsiTheme="minorEastAsia" w:eastAsiaTheme="minorEastAsia"/>
                <w:sz w:val="24"/>
                <w:szCs w:val="24"/>
              </w:rPr>
              <w:t>管理体系不</w:t>
            </w:r>
            <w:r>
              <w:rPr>
                <w:rFonts w:hint="eastAsia" w:asciiTheme="minorEastAsia" w:hAnsiTheme="minorEastAsia" w:eastAsiaTheme="minorEastAsia"/>
                <w:sz w:val="24"/>
                <w:szCs w:val="24"/>
              </w:rPr>
              <w:t>太</w:t>
            </w:r>
            <w:r>
              <w:rPr>
                <w:rFonts w:asciiTheme="minorEastAsia" w:hAnsiTheme="minorEastAsia" w:eastAsiaTheme="minorEastAsia"/>
                <w:sz w:val="24"/>
                <w:szCs w:val="24"/>
              </w:rPr>
              <w:t>科学</w:t>
            </w:r>
            <w:r>
              <w:rPr>
                <w:rFonts w:hint="eastAsia" w:asciiTheme="minorEastAsia" w:hAnsiTheme="minorEastAsia" w:eastAsiaTheme="minorEastAsia"/>
                <w:sz w:val="24"/>
                <w:szCs w:val="24"/>
              </w:rPr>
              <w:t>完善</w:t>
            </w:r>
            <w:r>
              <w:rPr>
                <w:rFonts w:asciiTheme="minorEastAsia" w:hAnsiTheme="minorEastAsia" w:eastAsiaTheme="minorEastAsia"/>
                <w:sz w:val="24"/>
                <w:szCs w:val="24"/>
              </w:rPr>
              <w:t>，</w:t>
            </w:r>
            <w:r>
              <w:rPr>
                <w:rFonts w:hint="eastAsia" w:asciiTheme="minorEastAsia" w:hAnsiTheme="minorEastAsia" w:eastAsiaTheme="minorEastAsia"/>
                <w:sz w:val="24"/>
                <w:szCs w:val="24"/>
              </w:rPr>
              <w:t>质量保证措施</w:t>
            </w:r>
            <w:r>
              <w:rPr>
                <w:rFonts w:asciiTheme="minorEastAsia" w:hAnsiTheme="minorEastAsia" w:eastAsiaTheme="minorEastAsia"/>
                <w:sz w:val="24"/>
                <w:szCs w:val="24"/>
              </w:rPr>
              <w:t>不</w:t>
            </w:r>
            <w:r>
              <w:rPr>
                <w:rFonts w:hint="eastAsia" w:asciiTheme="minorEastAsia" w:hAnsiTheme="minorEastAsia" w:eastAsiaTheme="minorEastAsia"/>
                <w:sz w:val="24"/>
                <w:szCs w:val="24"/>
              </w:rPr>
              <w:t>清晰</w:t>
            </w:r>
            <w:r>
              <w:rPr>
                <w:rFonts w:asciiTheme="minorEastAsia" w:hAnsiTheme="minorEastAsia" w:eastAsiaTheme="minorEastAsia"/>
                <w:sz w:val="24"/>
                <w:szCs w:val="24"/>
              </w:rPr>
              <w:t>、</w:t>
            </w:r>
            <w:r>
              <w:rPr>
                <w:rFonts w:hint="eastAsia" w:asciiTheme="minorEastAsia" w:hAnsiTheme="minorEastAsia" w:eastAsiaTheme="minorEastAsia"/>
                <w:sz w:val="24"/>
                <w:szCs w:val="24"/>
              </w:rPr>
              <w:t>合理</w:t>
            </w:r>
            <w:r>
              <w:rPr>
                <w:rFonts w:asciiTheme="minorEastAsia" w:hAnsiTheme="minorEastAsia" w:eastAsiaTheme="minorEastAsia"/>
                <w:sz w:val="24"/>
                <w:szCs w:val="24"/>
              </w:rPr>
              <w:t>，无法对项目计划、需求、成果和质量等</w:t>
            </w:r>
            <w:r>
              <w:rPr>
                <w:rFonts w:hint="eastAsia" w:asciiTheme="minorEastAsia" w:hAnsiTheme="minorEastAsia" w:eastAsiaTheme="minorEastAsia"/>
                <w:sz w:val="24"/>
                <w:szCs w:val="24"/>
              </w:rPr>
              <w:t>进行</w:t>
            </w:r>
            <w:r>
              <w:rPr>
                <w:rFonts w:asciiTheme="minorEastAsia" w:hAnsiTheme="minorEastAsia" w:eastAsiaTheme="minorEastAsia"/>
                <w:sz w:val="24"/>
                <w:szCs w:val="24"/>
              </w:rPr>
              <w:t>管理，可操作差，得</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42" w:hRule="atLeast"/>
          <w:jc w:val="center"/>
        </w:trPr>
        <w:tc>
          <w:tcPr>
            <w:tcW w:w="112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szCs w:val="24"/>
              </w:rPr>
            </w:pPr>
            <w:r>
              <w:rPr>
                <w:rFonts w:hint="eastAsia" w:ascii="宋体" w:hAnsi="宋体"/>
                <w:sz w:val="24"/>
                <w:szCs w:val="24"/>
              </w:rPr>
              <w:t>合计</w:t>
            </w:r>
          </w:p>
        </w:tc>
        <w:tc>
          <w:tcPr>
            <w:tcW w:w="426" w:type="pct"/>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 w:val="24"/>
                <w:szCs w:val="24"/>
              </w:rPr>
            </w:pPr>
            <w:r>
              <w:rPr>
                <w:rFonts w:hint="eastAsia" w:ascii="宋体" w:hAnsi="宋体"/>
                <w:sz w:val="24"/>
                <w:szCs w:val="24"/>
              </w:rPr>
              <w:t>60分</w:t>
            </w:r>
          </w:p>
        </w:tc>
        <w:tc>
          <w:tcPr>
            <w:tcW w:w="3452" w:type="pc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r>
    </w:tbl>
    <w:p>
      <w:pPr>
        <w:spacing w:line="360" w:lineRule="auto"/>
        <w:outlineLvl w:val="1"/>
        <w:rPr>
          <w:rFonts w:ascii="time of new roman" w:hAnsi="time of new roman"/>
          <w:szCs w:val="24"/>
        </w:rPr>
      </w:pPr>
      <w:r>
        <w:rPr>
          <w:rFonts w:ascii="time of new roman" w:hAnsi="time of new roman"/>
          <w:szCs w:val="24"/>
        </w:rPr>
        <w:br w:type="page"/>
      </w:r>
      <w:commentRangeStart w:id="9"/>
      <w:bookmarkStart w:id="990" w:name="_Toc75028790"/>
      <w:bookmarkStart w:id="991" w:name="_Toc498265699"/>
      <w:bookmarkStart w:id="992" w:name="_Toc409601380"/>
      <w:bookmarkStart w:id="993" w:name="_Toc51416540"/>
      <w:bookmarkStart w:id="994" w:name="_Toc447233599"/>
      <w:bookmarkStart w:id="995" w:name="_Toc416208500"/>
      <w:bookmarkStart w:id="996" w:name="_Toc23012"/>
      <w:bookmarkStart w:id="997" w:name="_Toc104213979"/>
      <w:bookmarkStart w:id="998" w:name="_Toc498978654"/>
      <w:bookmarkStart w:id="999" w:name="_Toc25391"/>
      <w:bookmarkStart w:id="1000" w:name="_Toc475805900"/>
      <w:bookmarkStart w:id="1001" w:name="_Toc475804843"/>
      <w:bookmarkStart w:id="1002" w:name="_Toc422162006"/>
      <w:bookmarkStart w:id="1003" w:name="_Toc482365853"/>
      <w:bookmarkStart w:id="1004" w:name="_Toc77781879"/>
      <w:bookmarkStart w:id="1005" w:name="_Toc487101028"/>
      <w:bookmarkStart w:id="1006" w:name="_Toc82445271"/>
      <w:bookmarkStart w:id="1007" w:name="_Toc100236036"/>
      <w:bookmarkStart w:id="1008" w:name="_Toc55911498"/>
      <w:bookmarkStart w:id="1009" w:name="_Toc490033965"/>
      <w:bookmarkStart w:id="1010" w:name="_Toc504741277"/>
      <w:bookmarkStart w:id="1011" w:name="_Toc93997414"/>
      <w:bookmarkStart w:id="1012" w:name="_Toc55745684"/>
      <w:bookmarkStart w:id="1013" w:name="_Toc514163581"/>
      <w:bookmarkStart w:id="1014" w:name="_Toc91288862"/>
      <w:bookmarkStart w:id="1015" w:name="_Toc82692204"/>
      <w:bookmarkStart w:id="1016" w:name="_Toc439513175"/>
      <w:bookmarkStart w:id="1017" w:name="_Toc488321035"/>
      <w:bookmarkStart w:id="1018" w:name="_Toc425347676"/>
      <w:bookmarkStart w:id="1019" w:name="_Toc69828238"/>
      <w:bookmarkStart w:id="1020" w:name="_Toc24471644"/>
      <w:bookmarkStart w:id="1021" w:name="_Toc489892980"/>
      <w:bookmarkStart w:id="1022" w:name="_Toc489974558"/>
      <w:bookmarkStart w:id="1023" w:name="_Toc389080939"/>
      <w:bookmarkStart w:id="1024" w:name="_Toc418023347"/>
      <w:bookmarkStart w:id="1025" w:name="_Toc513652329"/>
      <w:bookmarkStart w:id="1026" w:name="_Toc71878611"/>
      <w:bookmarkStart w:id="1027" w:name="_Toc498079544"/>
      <w:bookmarkStart w:id="1028" w:name="_Toc503169266"/>
      <w:bookmarkStart w:id="1029" w:name="_Toc439679282"/>
      <w:bookmarkStart w:id="1030" w:name="_Toc468457011"/>
      <w:bookmarkStart w:id="1031" w:name="_Toc403072955"/>
      <w:bookmarkStart w:id="1032" w:name="_Toc504122281"/>
      <w:bookmarkStart w:id="1033" w:name="_Toc78444623"/>
      <w:bookmarkStart w:id="1034" w:name="_Toc468450960"/>
      <w:bookmarkStart w:id="1035" w:name="_Toc482255093"/>
      <w:bookmarkStart w:id="1036" w:name="_Toc11922015"/>
      <w:bookmarkStart w:id="1037" w:name="_Toc477691934"/>
      <w:bookmarkStart w:id="1038" w:name="_Toc51778301"/>
      <w:bookmarkStart w:id="1039" w:name="_Toc438513748"/>
      <w:bookmarkStart w:id="1040" w:name="_Toc9312"/>
      <w:bookmarkStart w:id="1041" w:name="_Toc477807606"/>
      <w:bookmarkStart w:id="1042" w:name="_Toc438508611"/>
      <w:bookmarkStart w:id="1043" w:name="_Toc90148936"/>
      <w:bookmarkStart w:id="1044" w:name="_Toc515971213"/>
      <w:bookmarkStart w:id="1045" w:name="_Toc392064531"/>
      <w:bookmarkStart w:id="1046" w:name="_Toc438722144"/>
      <w:bookmarkStart w:id="1047" w:name="_Toc80869752"/>
      <w:bookmarkStart w:id="1048" w:name="_Toc439513459"/>
      <w:bookmarkStart w:id="1049" w:name="_Toc51416863"/>
      <w:bookmarkStart w:id="1050" w:name="_Toc65680729"/>
      <w:bookmarkStart w:id="1051" w:name="_Toc504062545"/>
      <w:bookmarkStart w:id="1052" w:name="_Toc78274979"/>
      <w:bookmarkStart w:id="1053" w:name="_Toc496096043"/>
      <w:bookmarkStart w:id="1054" w:name="_Toc496045549"/>
      <w:bookmarkStart w:id="1055" w:name="_Toc496123837"/>
      <w:bookmarkStart w:id="1056" w:name="_Toc499278278"/>
      <w:bookmarkStart w:id="1057" w:name="_Toc422865435"/>
      <w:bookmarkStart w:id="1058" w:name="_Toc66020779"/>
      <w:bookmarkStart w:id="1059" w:name="_Toc488422464"/>
      <w:bookmarkStart w:id="1060" w:name="_Toc55671118"/>
      <w:bookmarkStart w:id="1061" w:name="_Toc479343995"/>
      <w:bookmarkStart w:id="1062" w:name="_Toc482195781"/>
      <w:bookmarkStart w:id="1063" w:name="_Toc403580052"/>
      <w:bookmarkStart w:id="1064" w:name="_Toc149248248"/>
      <w:bookmarkStart w:id="1065" w:name="_Toc414510794"/>
      <w:bookmarkStart w:id="1066" w:name="_Toc389763145"/>
      <w:r>
        <w:rPr>
          <w:rFonts w:hint="eastAsia" w:ascii="宋体" w:hAnsi="宋体" w:cs="Tahoma"/>
          <w:b/>
          <w:sz w:val="24"/>
        </w:rPr>
        <w:t>附表3 商务响应性评审表</w:t>
      </w:r>
      <w:commentRangeEnd w:id="9"/>
      <w:r>
        <w:commentReference w:id="9"/>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spacing w:line="360" w:lineRule="auto"/>
        <w:rPr>
          <w:sz w:val="24"/>
          <w:szCs w:val="24"/>
        </w:rPr>
      </w:pPr>
      <w:r>
        <w:rPr>
          <w:rFonts w:hint="eastAsia" w:ascii="宋体" w:hAnsi="宋体"/>
          <w:sz w:val="24"/>
          <w:szCs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szCs w:val="24"/>
        </w:rPr>
      </w:pPr>
      <w:r>
        <w:rPr>
          <w:rFonts w:hint="eastAsia" w:ascii="宋体" w:hAnsi="宋体"/>
          <w:sz w:val="24"/>
          <w:szCs w:val="24"/>
        </w:rPr>
        <w:t>项目编号：</w:t>
      </w:r>
      <w:r>
        <w:rPr>
          <w:rFonts w:hint="eastAsia" w:ascii="宋体" w:cs="Tahoma"/>
          <w:bCs/>
          <w:sz w:val="24"/>
        </w:rPr>
        <w:t>YL202310303</w:t>
      </w:r>
      <w:r>
        <w:rPr>
          <w:rFonts w:hint="eastAsia" w:ascii="宋体" w:hAnsi="宋体"/>
          <w:sz w:val="24"/>
        </w:rPr>
        <w:t xml:space="preserve"> </w:t>
      </w:r>
    </w:p>
    <w:tbl>
      <w:tblPr>
        <w:tblStyle w:val="17"/>
        <w:tblW w:w="9930" w:type="dxa"/>
        <w:jc w:val="center"/>
        <w:tblLayout w:type="fixed"/>
        <w:tblCellMar>
          <w:top w:w="0" w:type="dxa"/>
          <w:left w:w="108" w:type="dxa"/>
          <w:bottom w:w="0" w:type="dxa"/>
          <w:right w:w="108" w:type="dxa"/>
        </w:tblCellMar>
      </w:tblPr>
      <w:tblGrid>
        <w:gridCol w:w="801"/>
        <w:gridCol w:w="1559"/>
        <w:gridCol w:w="851"/>
        <w:gridCol w:w="6719"/>
      </w:tblGrid>
      <w:tr>
        <w:tblPrEx>
          <w:tblCellMar>
            <w:top w:w="0" w:type="dxa"/>
            <w:left w:w="108" w:type="dxa"/>
            <w:bottom w:w="0" w:type="dxa"/>
            <w:right w:w="108" w:type="dxa"/>
          </w:tblCellMar>
        </w:tblPrEx>
        <w:trPr>
          <w:trHeight w:val="748"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评审分项</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分值</w:t>
            </w:r>
          </w:p>
        </w:tc>
        <w:tc>
          <w:tcPr>
            <w:tcW w:w="6719"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评审标准</w:t>
            </w:r>
          </w:p>
        </w:tc>
      </w:tr>
      <w:tr>
        <w:tblPrEx>
          <w:tblCellMar>
            <w:top w:w="0" w:type="dxa"/>
            <w:left w:w="108" w:type="dxa"/>
            <w:bottom w:w="0" w:type="dxa"/>
            <w:right w:w="108" w:type="dxa"/>
          </w:tblCellMar>
        </w:tblPrEx>
        <w:trPr>
          <w:trHeight w:val="643"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同类业绩</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10分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s="宋体_x0004_fal"/>
                <w:color w:val="000000"/>
                <w:kern w:val="0"/>
                <w:sz w:val="24"/>
                <w:szCs w:val="24"/>
              </w:rPr>
            </w:pPr>
            <w:r>
              <w:rPr>
                <w:rFonts w:hint="eastAsia" w:ascii="宋体" w:hAnsi="宋体" w:cs="宋体_x0004_fal"/>
                <w:color w:val="000000"/>
                <w:kern w:val="0"/>
                <w:sz w:val="24"/>
                <w:szCs w:val="24"/>
              </w:rPr>
              <w:t>响应供应商具有自2021年1月1日以来与本项目相关的同类业绩，每项得2分，满分10分。</w:t>
            </w:r>
          </w:p>
          <w:p>
            <w:pPr>
              <w:snapToGrid w:val="0"/>
              <w:spacing w:line="360" w:lineRule="auto"/>
              <w:rPr>
                <w:rFonts w:ascii="宋体" w:hAnsi="宋体" w:cs="宋体_x0004_fal"/>
                <w:color w:val="000000"/>
                <w:kern w:val="0"/>
                <w:sz w:val="24"/>
                <w:szCs w:val="24"/>
              </w:rPr>
            </w:pPr>
            <w:r>
              <w:rPr>
                <w:rFonts w:hint="eastAsia" w:ascii="宋体" w:hAnsi="宋体" w:cs="宋体_x0004_fal"/>
                <w:b/>
                <w:bCs/>
                <w:color w:val="000000"/>
                <w:kern w:val="0"/>
                <w:sz w:val="22"/>
                <w:szCs w:val="22"/>
              </w:rPr>
              <w:t>（注：提供合同复印件作为证明材料加盖公章，以合同签订时间为准，无提供不得分）</w:t>
            </w:r>
          </w:p>
        </w:tc>
      </w:tr>
      <w:tr>
        <w:tblPrEx>
          <w:tblCellMar>
            <w:top w:w="0" w:type="dxa"/>
            <w:left w:w="108" w:type="dxa"/>
            <w:bottom w:w="0" w:type="dxa"/>
            <w:right w:w="108" w:type="dxa"/>
          </w:tblCellMar>
        </w:tblPrEx>
        <w:trPr>
          <w:trHeight w:val="836"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体系认证</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9分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s="宋体_x0004_fal"/>
                <w:color w:val="000000"/>
                <w:kern w:val="0"/>
                <w:sz w:val="24"/>
                <w:szCs w:val="24"/>
              </w:rPr>
            </w:pPr>
            <w:r>
              <w:rPr>
                <w:rFonts w:hint="eastAsia" w:ascii="宋体" w:hAnsi="宋体" w:cs="宋体_x0004_fal"/>
                <w:color w:val="000000"/>
                <w:kern w:val="0"/>
                <w:sz w:val="24"/>
                <w:szCs w:val="24"/>
              </w:rPr>
              <w:t>响应</w:t>
            </w:r>
            <w:r>
              <w:rPr>
                <w:rFonts w:ascii="宋体" w:hAnsi="宋体" w:cs="宋体_x0004_fal"/>
                <w:color w:val="000000"/>
                <w:kern w:val="0"/>
                <w:sz w:val="24"/>
                <w:szCs w:val="24"/>
              </w:rPr>
              <w:t>供应商获得有效期内的质量管理体系认证证书、环境管理体系认证证书、职业健康安全管理体系认证证书，每获得一项得</w:t>
            </w:r>
            <w:r>
              <w:rPr>
                <w:rFonts w:hint="eastAsia" w:ascii="宋体" w:hAnsi="宋体" w:cs="宋体_x0004_fal"/>
                <w:color w:val="000000"/>
                <w:kern w:val="0"/>
                <w:sz w:val="24"/>
                <w:szCs w:val="24"/>
              </w:rPr>
              <w:t>3</w:t>
            </w:r>
            <w:r>
              <w:rPr>
                <w:rFonts w:ascii="宋体" w:hAnsi="宋体" w:cs="宋体_x0004_fal"/>
                <w:color w:val="000000"/>
                <w:kern w:val="0"/>
                <w:sz w:val="24"/>
                <w:szCs w:val="24"/>
              </w:rPr>
              <w:t>分，最高得</w:t>
            </w:r>
            <w:r>
              <w:rPr>
                <w:rFonts w:hint="eastAsia" w:ascii="宋体" w:hAnsi="宋体" w:cs="宋体_x0004_fal"/>
                <w:color w:val="000000"/>
                <w:kern w:val="0"/>
                <w:sz w:val="24"/>
                <w:szCs w:val="24"/>
              </w:rPr>
              <w:t>9</w:t>
            </w:r>
            <w:r>
              <w:rPr>
                <w:rFonts w:ascii="宋体" w:hAnsi="宋体" w:cs="宋体_x0004_fal"/>
                <w:color w:val="000000"/>
                <w:kern w:val="0"/>
                <w:sz w:val="24"/>
                <w:szCs w:val="24"/>
              </w:rPr>
              <w:t>分。</w:t>
            </w:r>
          </w:p>
          <w:p>
            <w:pPr>
              <w:snapToGrid w:val="0"/>
              <w:spacing w:line="360" w:lineRule="auto"/>
              <w:rPr>
                <w:rFonts w:ascii="宋体" w:hAnsi="宋体" w:cs="宋体_x0004_fal"/>
                <w:color w:val="000000"/>
                <w:kern w:val="0"/>
                <w:sz w:val="24"/>
                <w:szCs w:val="24"/>
              </w:rPr>
            </w:pP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注：同时提供有效期内的证书复印件和打印网站公布的信息资料</w:t>
            </w: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网址以http://www.cnca.gov.cn/网站公布为准</w:t>
            </w: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,已失效或撤销或暂停的不得分，未同时提供以上材料的不得分。公开信息中无法查询或与公开信息不一致的，</w:t>
            </w:r>
            <w:r>
              <w:rPr>
                <w:rFonts w:hint="eastAsia" w:ascii="宋体" w:hAnsi="宋体" w:cs="宋体_x0004_fal"/>
                <w:b/>
                <w:bCs/>
                <w:color w:val="000000"/>
                <w:kern w:val="0"/>
                <w:sz w:val="24"/>
                <w:szCs w:val="24"/>
              </w:rPr>
              <w:t>响应</w:t>
            </w:r>
            <w:r>
              <w:rPr>
                <w:rFonts w:ascii="宋体" w:hAnsi="宋体" w:cs="宋体_x0004_fal"/>
                <w:b/>
                <w:bCs/>
                <w:color w:val="000000"/>
                <w:kern w:val="0"/>
                <w:sz w:val="24"/>
                <w:szCs w:val="24"/>
              </w:rPr>
              <w:t>供应商必须提供发证机构出具的证明函。</w:t>
            </w:r>
            <w:r>
              <w:rPr>
                <w:rFonts w:hint="eastAsia" w:ascii="宋体" w:hAnsi="宋体" w:cs="宋体_x0004_fal"/>
                <w:b/>
                <w:bCs/>
                <w:color w:val="000000"/>
                <w:kern w:val="0"/>
                <w:sz w:val="24"/>
                <w:szCs w:val="24"/>
              </w:rPr>
              <w:t>】</w:t>
            </w:r>
          </w:p>
        </w:tc>
      </w:tr>
      <w:tr>
        <w:tblPrEx>
          <w:tblCellMar>
            <w:top w:w="0" w:type="dxa"/>
            <w:left w:w="108" w:type="dxa"/>
            <w:bottom w:w="0" w:type="dxa"/>
            <w:right w:w="108" w:type="dxa"/>
          </w:tblCellMar>
        </w:tblPrEx>
        <w:trPr>
          <w:trHeight w:val="325"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服务保障</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11分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olor w:val="000000"/>
                <w:sz w:val="24"/>
              </w:rPr>
            </w:pPr>
            <w:r>
              <w:rPr>
                <w:rFonts w:hint="eastAsia" w:ascii="宋体" w:hAnsi="宋体"/>
                <w:color w:val="000000"/>
                <w:sz w:val="24"/>
              </w:rPr>
              <w:t>1.响应供应商为本项目拟配备的项目负责人情况：具有5年（含）或以上应急管理工作经历的，得4分；具有3年（含）-5年（不含）应急管理工作经历的，得2分。项目负责人同时被相关部门聘请为安全类专家的加2分。</w:t>
            </w:r>
          </w:p>
          <w:p>
            <w:pPr>
              <w:snapToGrid w:val="0"/>
              <w:spacing w:line="360" w:lineRule="auto"/>
              <w:rPr>
                <w:rFonts w:ascii="宋体" w:hAnsi="宋体"/>
                <w:b/>
                <w:bCs/>
                <w:color w:val="000000"/>
                <w:sz w:val="24"/>
              </w:rPr>
            </w:pPr>
            <w:r>
              <w:rPr>
                <w:rFonts w:hint="eastAsia" w:ascii="宋体" w:hAnsi="宋体"/>
                <w:b/>
                <w:bCs/>
                <w:color w:val="000000"/>
                <w:sz w:val="24"/>
              </w:rPr>
              <w:t>本项最高得6分。</w:t>
            </w:r>
          </w:p>
          <w:p>
            <w:pPr>
              <w:snapToGrid w:val="0"/>
              <w:spacing w:line="360" w:lineRule="auto"/>
              <w:rPr>
                <w:rFonts w:ascii="宋体" w:hAnsi="宋体"/>
                <w:b/>
                <w:bCs/>
                <w:color w:val="000000"/>
                <w:sz w:val="22"/>
                <w:szCs w:val="18"/>
              </w:rPr>
            </w:pPr>
            <w:r>
              <w:rPr>
                <w:rFonts w:hint="eastAsia" w:ascii="宋体" w:hAnsi="宋体"/>
                <w:b/>
                <w:bCs/>
                <w:color w:val="000000"/>
                <w:sz w:val="22"/>
                <w:szCs w:val="18"/>
              </w:rPr>
              <w:t>【</w:t>
            </w:r>
            <w:r>
              <w:rPr>
                <w:rFonts w:ascii="宋体" w:hAnsi="宋体"/>
                <w:b/>
                <w:bCs/>
                <w:color w:val="000000"/>
                <w:sz w:val="22"/>
                <w:szCs w:val="18"/>
              </w:rPr>
              <w:t>注：</w:t>
            </w:r>
            <w:r>
              <w:rPr>
                <w:rFonts w:hint="eastAsia" w:ascii="宋体" w:hAnsi="宋体"/>
                <w:b/>
                <w:bCs/>
                <w:sz w:val="22"/>
                <w:szCs w:val="18"/>
              </w:rPr>
              <w:t>须</w:t>
            </w:r>
            <w:r>
              <w:rPr>
                <w:rFonts w:ascii="宋体" w:hAnsi="宋体"/>
                <w:b/>
                <w:bCs/>
                <w:color w:val="000000"/>
                <w:sz w:val="22"/>
                <w:szCs w:val="18"/>
              </w:rPr>
              <w:t>提供上述人员的</w:t>
            </w:r>
            <w:r>
              <w:rPr>
                <w:rFonts w:hint="eastAsia" w:ascii="宋体" w:hAnsi="宋体"/>
                <w:b/>
                <w:bCs/>
                <w:color w:val="000000"/>
                <w:sz w:val="22"/>
                <w:szCs w:val="18"/>
              </w:rPr>
              <w:t>经验证明文件（如人员履历表等）</w:t>
            </w:r>
            <w:r>
              <w:rPr>
                <w:rFonts w:ascii="宋体" w:hAnsi="宋体"/>
                <w:b/>
                <w:bCs/>
                <w:color w:val="000000"/>
                <w:sz w:val="22"/>
                <w:szCs w:val="18"/>
              </w:rPr>
              <w:t>及在本单位任职的证明材料（如加盖所在地区政府有关部门印章的打印日期在本项目磋商截止日之前</w:t>
            </w:r>
            <w:r>
              <w:rPr>
                <w:rFonts w:hint="eastAsia" w:ascii="宋体" w:hAnsi="宋体"/>
                <w:b/>
                <w:bCs/>
                <w:color w:val="000000"/>
                <w:sz w:val="22"/>
                <w:szCs w:val="18"/>
              </w:rPr>
              <w:t>三</w:t>
            </w:r>
            <w:r>
              <w:rPr>
                <w:rFonts w:ascii="宋体" w:hAnsi="宋体"/>
                <w:b/>
                <w:bCs/>
                <w:color w:val="000000"/>
                <w:sz w:val="22"/>
                <w:szCs w:val="18"/>
              </w:rPr>
              <w:t>个月以内任一月的《投保单》或《社会保险参保人员证明》，或单位代缴个人所得税税单等）。不提供不得分。</w:t>
            </w:r>
            <w:r>
              <w:rPr>
                <w:rFonts w:hint="eastAsia" w:ascii="宋体" w:hAnsi="宋体"/>
                <w:b/>
                <w:bCs/>
                <w:color w:val="000000"/>
                <w:sz w:val="22"/>
                <w:szCs w:val="18"/>
              </w:rPr>
              <w:t>】</w:t>
            </w:r>
          </w:p>
          <w:p>
            <w:pPr>
              <w:snapToGrid w:val="0"/>
              <w:spacing w:line="360" w:lineRule="auto"/>
              <w:rPr>
                <w:rFonts w:ascii="宋体" w:hAnsi="宋体"/>
                <w:color w:val="000000"/>
                <w:sz w:val="24"/>
              </w:rPr>
            </w:pPr>
            <w:r>
              <w:rPr>
                <w:rFonts w:hint="eastAsia" w:ascii="宋体" w:hAnsi="宋体"/>
                <w:color w:val="000000"/>
                <w:sz w:val="24"/>
              </w:rPr>
              <w:t>2.由于本项目时间紧，任务重，要求响应供应商在项目服务点（</w:t>
            </w:r>
            <w:r>
              <w:rPr>
                <w:rFonts w:hint="eastAsia" w:ascii="宋体" w:cs="Tahoma"/>
                <w:bCs/>
                <w:sz w:val="24"/>
                <w:szCs w:val="28"/>
              </w:rPr>
              <w:t>阳江广泰隆码头13-14泊位对开水域</w:t>
            </w:r>
            <w:r>
              <w:rPr>
                <w:rFonts w:hint="eastAsia" w:ascii="宋体" w:hAnsi="宋体"/>
                <w:color w:val="000000"/>
                <w:sz w:val="24"/>
              </w:rPr>
              <w:t>）具有驻点服务。接到采购人应急服务要求时，能够在10分钟内进行响应，30分钟内解决问题的，得5分；接到采购人应急服务要求时，能够在30分钟内进行响应，60分钟内解决问题的，得2分；接到采购人应急服务要求时，能够在60分钟内进行响应，120分钟内解决问题的，得1分。</w:t>
            </w:r>
          </w:p>
          <w:p>
            <w:pPr>
              <w:snapToGrid w:val="0"/>
              <w:spacing w:line="360" w:lineRule="auto"/>
              <w:rPr>
                <w:b/>
                <w:szCs w:val="21"/>
              </w:rPr>
            </w:pPr>
            <w:r>
              <w:rPr>
                <w:rFonts w:hint="eastAsia"/>
                <w:b/>
                <w:szCs w:val="21"/>
              </w:rPr>
              <w:t>（注：提供承诺函及相关证明材料，无法合理证明或无提供的均不得分）</w:t>
            </w:r>
          </w:p>
        </w:tc>
      </w:tr>
      <w:tr>
        <w:tblPrEx>
          <w:tblCellMar>
            <w:top w:w="0" w:type="dxa"/>
            <w:left w:w="108" w:type="dxa"/>
            <w:bottom w:w="0" w:type="dxa"/>
            <w:right w:w="108" w:type="dxa"/>
          </w:tblCellMar>
        </w:tblPrEx>
        <w:trPr>
          <w:cantSplit/>
          <w:trHeight w:val="58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合计</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30分</w:t>
            </w:r>
          </w:p>
        </w:tc>
        <w:tc>
          <w:tcPr>
            <w:tcW w:w="67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bl>
    <w:p>
      <w:pPr>
        <w:spacing w:line="360" w:lineRule="auto"/>
        <w:jc w:val="center"/>
        <w:outlineLvl w:val="0"/>
      </w:pPr>
      <w:r>
        <w:rPr>
          <w:rFonts w:ascii="宋体" w:hAnsi="宋体"/>
          <w:sz w:val="24"/>
        </w:rPr>
        <w:br w:type="page"/>
      </w:r>
      <w:bookmarkStart w:id="1067" w:name="_Toc149248249"/>
      <w:r>
        <w:rPr>
          <w:rFonts w:hint="eastAsia" w:ascii="微软雅黑" w:hAnsi="微软雅黑" w:eastAsia="微软雅黑"/>
          <w:b/>
          <w:sz w:val="28"/>
        </w:rPr>
        <w:t>第六章 响应文件格式</w:t>
      </w:r>
      <w:bookmarkEnd w:id="744"/>
      <w:bookmarkEnd w:id="1067"/>
    </w:p>
    <w:p>
      <w:pPr>
        <w:spacing w:line="360" w:lineRule="auto"/>
        <w:outlineLvl w:val="1"/>
        <w:rPr>
          <w:rFonts w:ascii="宋体" w:hAnsi="宋体" w:cs="Tahoma"/>
          <w:b/>
          <w:sz w:val="24"/>
        </w:rPr>
      </w:pPr>
      <w:bookmarkStart w:id="1068" w:name="_Toc90148938"/>
      <w:bookmarkStart w:id="1069" w:name="_Toc149248250"/>
      <w:bookmarkStart w:id="1070" w:name="_Toc91288864"/>
      <w:bookmarkStart w:id="1071" w:name="_Toc482255097"/>
      <w:r>
        <w:rPr>
          <w:rFonts w:hint="eastAsia" w:ascii="宋体" w:hAnsi="宋体" w:cs="Tahoma"/>
          <w:b/>
          <w:sz w:val="24"/>
        </w:rPr>
        <w:t>附件1 响应书</w:t>
      </w:r>
      <w:bookmarkEnd w:id="1068"/>
      <w:bookmarkEnd w:id="1069"/>
      <w:bookmarkEnd w:id="1070"/>
      <w:bookmarkEnd w:id="1071"/>
    </w:p>
    <w:p>
      <w:pPr>
        <w:spacing w:line="336" w:lineRule="auto"/>
        <w:rPr>
          <w:rFonts w:ascii="宋体" w:hAnsi="宋体"/>
          <w:sz w:val="24"/>
        </w:rPr>
      </w:pPr>
      <w:r>
        <w:rPr>
          <w:rFonts w:hint="eastAsia" w:ascii="宋体" w:hAnsi="宋体"/>
          <w:sz w:val="24"/>
        </w:rPr>
        <w:t>致：粤廉（广东）招标代理有限公司</w:t>
      </w:r>
    </w:p>
    <w:p>
      <w:pPr>
        <w:spacing w:line="336" w:lineRule="auto"/>
        <w:ind w:firstLine="480"/>
        <w:rPr>
          <w:rFonts w:ascii="宋体" w:hAnsi="宋体"/>
          <w:sz w:val="24"/>
        </w:rPr>
      </w:pPr>
      <w:r>
        <w:rPr>
          <w:rFonts w:hint="eastAsia" w:ascii="宋体" w:hAnsi="宋体"/>
          <w:sz w:val="24"/>
        </w:rPr>
        <w:t>根据</w:t>
      </w:r>
      <w:r>
        <w:rPr>
          <w:rFonts w:hint="eastAsia" w:ascii="宋体" w:hAnsi="宋体" w:cs="Tahoma"/>
          <w:sz w:val="24"/>
        </w:rPr>
        <w:t xml:space="preserve">2023年广东省（阳江）海上大型综合应急演习组织服务采购项目 </w:t>
      </w:r>
      <w:r>
        <w:rPr>
          <w:rFonts w:hint="eastAsia" w:ascii="宋体" w:hAnsi="宋体"/>
          <w:sz w:val="24"/>
        </w:rPr>
        <w:t>（项目编号：</w:t>
      </w:r>
      <w:r>
        <w:rPr>
          <w:rFonts w:hint="eastAsia" w:ascii="宋体" w:cs="Tahoma"/>
          <w:bCs/>
          <w:sz w:val="24"/>
        </w:rPr>
        <w:t>YL202310303</w:t>
      </w:r>
      <w:r>
        <w:rPr>
          <w:rFonts w:hint="eastAsia" w:ascii="宋体" w:hAnsi="宋体"/>
          <w:sz w:val="24"/>
        </w:rPr>
        <w:t>）的</w:t>
      </w:r>
      <w:r>
        <w:rPr>
          <w:rFonts w:hint="eastAsia" w:ascii="宋体" w:hAnsi="宋体" w:cs="宋体"/>
          <w:sz w:val="24"/>
        </w:rPr>
        <w:t>磋商文件</w:t>
      </w:r>
      <w:r>
        <w:rPr>
          <w:rFonts w:hint="eastAsia" w:ascii="宋体" w:hAnsi="宋体"/>
          <w:sz w:val="24"/>
        </w:rPr>
        <w:t>要求，</w:t>
      </w:r>
      <w:r>
        <w:rPr>
          <w:rFonts w:hint="eastAsia" w:ascii="宋体" w:hAnsi="宋体"/>
          <w:sz w:val="24"/>
          <w:u w:val="single"/>
        </w:rPr>
        <w:t>（全名及职务）</w:t>
      </w:r>
      <w:r>
        <w:rPr>
          <w:rFonts w:hint="eastAsia" w:ascii="宋体" w:hAnsi="宋体"/>
          <w:sz w:val="24"/>
        </w:rPr>
        <w:t>经正式授权并以</w:t>
      </w:r>
      <w:r>
        <w:rPr>
          <w:rFonts w:hint="eastAsia" w:ascii="宋体" w:hAnsi="宋体" w:cs="宋体"/>
          <w:sz w:val="24"/>
        </w:rPr>
        <w:t>响应供应商</w:t>
      </w:r>
      <w:r>
        <w:rPr>
          <w:rFonts w:hint="eastAsia" w:ascii="宋体" w:hAnsi="宋体"/>
          <w:sz w:val="24"/>
          <w:u w:val="single"/>
        </w:rPr>
        <w:t>（响应供应商名称、地址）</w:t>
      </w:r>
      <w:r>
        <w:rPr>
          <w:rFonts w:hint="eastAsia" w:ascii="宋体" w:hAnsi="宋体"/>
          <w:sz w:val="24"/>
        </w:rPr>
        <w:t>的名义响应。签字代表在此声明并同意：</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我们愿意遵守</w:t>
      </w:r>
      <w:r>
        <w:rPr>
          <w:rFonts w:hint="eastAsia" w:ascii="宋体" w:hAnsi="宋体" w:cs="宋体"/>
          <w:sz w:val="24"/>
        </w:rPr>
        <w:t>磋商文件</w:t>
      </w:r>
      <w:r>
        <w:rPr>
          <w:rFonts w:hint="eastAsia" w:ascii="宋体" w:hAnsi="宋体"/>
          <w:sz w:val="24"/>
        </w:rPr>
        <w:t>的各项规定，自愿参加响应</w:t>
      </w:r>
      <w:r>
        <w:rPr>
          <w:rFonts w:ascii="宋体" w:hAnsi="宋体"/>
          <w:sz w:val="24"/>
        </w:rPr>
        <w:t>,</w:t>
      </w:r>
      <w:r>
        <w:rPr>
          <w:rFonts w:hint="eastAsia" w:ascii="宋体" w:hAnsi="宋体"/>
          <w:sz w:val="24"/>
        </w:rPr>
        <w:t>并已清楚</w:t>
      </w:r>
      <w:r>
        <w:rPr>
          <w:rFonts w:hint="eastAsia" w:ascii="宋体" w:hAnsi="宋体" w:cs="宋体"/>
          <w:sz w:val="24"/>
        </w:rPr>
        <w:t>磋商文件</w:t>
      </w:r>
      <w:r>
        <w:rPr>
          <w:rFonts w:hint="eastAsia" w:ascii="宋体" w:hAnsi="宋体"/>
          <w:sz w:val="24"/>
        </w:rPr>
        <w:t>的要求及有关文件规定，并严格按照</w:t>
      </w:r>
      <w:r>
        <w:rPr>
          <w:rFonts w:hint="eastAsia" w:ascii="宋体" w:hAnsi="宋体" w:cs="宋体"/>
          <w:sz w:val="24"/>
        </w:rPr>
        <w:t>磋商文件</w:t>
      </w:r>
      <w:r>
        <w:rPr>
          <w:rFonts w:hint="eastAsia" w:ascii="宋体" w:hAnsi="宋体"/>
          <w:sz w:val="24"/>
        </w:rPr>
        <w:t>的规定履行全部责任和义务。</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我们同意本响应自响应截止之日起90天内有效。如果我们的响应被接受，则直至合同生效时止，本响应始终有效。</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我们已经详细地阅读并完全明白了全部</w:t>
      </w:r>
      <w:r>
        <w:rPr>
          <w:rFonts w:hint="eastAsia" w:ascii="宋体" w:hAnsi="宋体" w:cs="宋体"/>
          <w:sz w:val="24"/>
        </w:rPr>
        <w:t>磋商文件</w:t>
      </w:r>
      <w:r>
        <w:rPr>
          <w:rFonts w:hint="eastAsia" w:ascii="宋体" w:hAnsi="宋体"/>
          <w:sz w:val="24"/>
        </w:rPr>
        <w:t>及附件，包括澄清（如有）及参考文件，我们完全理解本</w:t>
      </w:r>
      <w:r>
        <w:rPr>
          <w:rFonts w:hint="eastAsia" w:ascii="宋体" w:hAnsi="宋体" w:cs="宋体"/>
          <w:sz w:val="24"/>
        </w:rPr>
        <w:t>磋商文件</w:t>
      </w:r>
      <w:r>
        <w:rPr>
          <w:rFonts w:hint="eastAsia" w:ascii="宋体" w:hAnsi="宋体"/>
          <w:sz w:val="24"/>
        </w:rPr>
        <w:t>的要求，我们同意放弃对</w:t>
      </w:r>
      <w:r>
        <w:rPr>
          <w:rFonts w:hint="eastAsia" w:ascii="宋体" w:hAnsi="宋体" w:cs="宋体"/>
          <w:sz w:val="24"/>
        </w:rPr>
        <w:t>磋商文件</w:t>
      </w:r>
      <w:r>
        <w:rPr>
          <w:rFonts w:hint="eastAsia" w:ascii="宋体" w:hAnsi="宋体"/>
          <w:sz w:val="24"/>
        </w:rPr>
        <w:t>提出不明或误解的一切权力。</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我们同意提供采购代理机构与磋商小组要求的有关响应的一切数据或资料。</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如果我们未对</w:t>
      </w:r>
      <w:r>
        <w:rPr>
          <w:rFonts w:hint="eastAsia" w:ascii="宋体" w:hAnsi="宋体" w:cs="宋体"/>
          <w:sz w:val="24"/>
        </w:rPr>
        <w:t>磋商文件</w:t>
      </w:r>
      <w:r>
        <w:rPr>
          <w:rFonts w:hint="eastAsia" w:ascii="宋体" w:hAnsi="宋体"/>
          <w:sz w:val="24"/>
        </w:rPr>
        <w:t>全部要求做出实质性响应，则完全同意并接受按无效响应处理。</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我们在响应时已明确获知采购人有权根据实际情况，调整合同中规定的相关内容，在此我们承诺，如果我们获得成交资格，将无条件接受采购人的调整方案。</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w:t>
      </w:r>
    </w:p>
    <w:p>
      <w:pPr>
        <w:numPr>
          <w:ilvl w:val="0"/>
          <w:numId w:val="4"/>
        </w:numPr>
        <w:tabs>
          <w:tab w:val="left" w:pos="945"/>
          <w:tab w:val="left" w:pos="1838"/>
        </w:tabs>
        <w:spacing w:line="336" w:lineRule="auto"/>
        <w:ind w:left="840" w:hanging="315"/>
        <w:rPr>
          <w:rFonts w:ascii="宋体" w:hAnsi="宋体"/>
          <w:sz w:val="24"/>
        </w:rPr>
      </w:pPr>
      <w:r>
        <w:rPr>
          <w:rFonts w:hint="eastAsia" w:ascii="宋体" w:hAnsi="宋体"/>
          <w:sz w:val="24"/>
        </w:rPr>
        <w:t>我们是依法注册的法人，在法律、财务及运作上完全独立于（采购人）和粤廉（广东）招标代理有限公司（采购代理机构）。</w:t>
      </w:r>
    </w:p>
    <w:p>
      <w:pPr>
        <w:numPr>
          <w:ilvl w:val="0"/>
          <w:numId w:val="4"/>
        </w:numPr>
        <w:tabs>
          <w:tab w:val="left" w:pos="945"/>
          <w:tab w:val="left" w:pos="1838"/>
        </w:tabs>
        <w:spacing w:line="336" w:lineRule="auto"/>
        <w:ind w:left="840" w:hanging="315"/>
        <w:rPr>
          <w:rFonts w:ascii="宋体" w:hAnsi="宋体"/>
          <w:sz w:val="24"/>
        </w:rPr>
      </w:pPr>
      <w:r>
        <w:rPr>
          <w:rFonts w:hint="eastAsia" w:ascii="宋体" w:hAnsi="宋体"/>
          <w:sz w:val="24"/>
        </w:rPr>
        <w:t>所有有关本次响应的函电请寄：</w:t>
      </w:r>
      <w:r>
        <w:rPr>
          <w:rFonts w:hint="eastAsia" w:ascii="宋体" w:hAnsi="宋体"/>
          <w:sz w:val="24"/>
          <w:u w:val="single"/>
        </w:rPr>
        <w:t xml:space="preserve">  （响应供应商地址）    </w:t>
      </w:r>
    </w:p>
    <w:p>
      <w:pPr>
        <w:tabs>
          <w:tab w:val="left" w:pos="840"/>
          <w:tab w:val="left" w:pos="945"/>
        </w:tabs>
        <w:spacing w:line="336" w:lineRule="auto"/>
        <w:ind w:left="840"/>
        <w:rPr>
          <w:rFonts w:ascii="宋体" w:hAnsi="宋体"/>
          <w:b/>
          <w:sz w:val="24"/>
        </w:rPr>
      </w:pPr>
      <w:r>
        <w:rPr>
          <w:rFonts w:hint="eastAsia" w:ascii="宋体" w:hAnsi="宋体"/>
          <w:b/>
          <w:sz w:val="24"/>
        </w:rPr>
        <w:t>说明：本响应书内容不得擅自删改。</w:t>
      </w:r>
    </w:p>
    <w:p>
      <w:pPr>
        <w:spacing w:line="336" w:lineRule="auto"/>
        <w:ind w:firstLine="480"/>
        <w:rPr>
          <w:rFonts w:ascii="宋体" w:hAnsi="宋体"/>
          <w:sz w:val="24"/>
        </w:rPr>
      </w:pPr>
    </w:p>
    <w:p>
      <w:pPr>
        <w:spacing w:line="336" w:lineRule="auto"/>
        <w:ind w:firstLine="480"/>
        <w:rPr>
          <w:rFonts w:ascii="宋体" w:hAnsi="宋体"/>
          <w:sz w:val="24"/>
        </w:rPr>
      </w:pPr>
      <w:r>
        <w:rPr>
          <w:rFonts w:hint="eastAsia" w:ascii="宋体" w:hAnsi="宋体"/>
          <w:sz w:val="24"/>
        </w:rPr>
        <w:t>响应供应商全称（盖公章）：</w:t>
      </w:r>
    </w:p>
    <w:p>
      <w:pPr>
        <w:spacing w:line="336" w:lineRule="auto"/>
        <w:ind w:firstLine="480"/>
        <w:rPr>
          <w:rFonts w:ascii="宋体" w:hAnsi="宋体"/>
          <w:sz w:val="24"/>
        </w:rPr>
      </w:pPr>
      <w:r>
        <w:rPr>
          <w:rFonts w:hint="eastAsia" w:ascii="宋体" w:hAnsi="宋体"/>
          <w:sz w:val="24"/>
        </w:rPr>
        <w:t>法定代表人或授权代表（签名或盖章）：</w:t>
      </w:r>
    </w:p>
    <w:p>
      <w:pPr>
        <w:spacing w:line="336" w:lineRule="auto"/>
        <w:ind w:firstLine="480"/>
        <w:rPr>
          <w:rFonts w:ascii="宋体" w:hAnsi="宋体"/>
          <w:sz w:val="24"/>
        </w:rPr>
      </w:pPr>
      <w:r>
        <w:rPr>
          <w:rFonts w:hint="eastAsia" w:ascii="宋体" w:hAnsi="宋体"/>
          <w:sz w:val="24"/>
        </w:rPr>
        <w:t xml:space="preserve">日    期：     年   月   日     </w:t>
      </w:r>
    </w:p>
    <w:p>
      <w:pPr>
        <w:spacing w:line="360" w:lineRule="auto"/>
        <w:outlineLvl w:val="1"/>
        <w:rPr>
          <w:szCs w:val="28"/>
        </w:rPr>
      </w:pPr>
      <w:bookmarkStart w:id="1072" w:name="_Toc482255104"/>
      <w:r>
        <w:rPr>
          <w:sz w:val="28"/>
          <w:szCs w:val="28"/>
        </w:rPr>
        <w:br w:type="page"/>
      </w:r>
      <w:bookmarkStart w:id="1073" w:name="_Toc91288865"/>
      <w:bookmarkStart w:id="1074" w:name="_Toc149248251"/>
      <w:bookmarkStart w:id="1075" w:name="_Toc90148939"/>
      <w:r>
        <w:rPr>
          <w:rFonts w:hint="eastAsia" w:ascii="宋体" w:hAnsi="宋体" w:cs="Tahoma"/>
          <w:b/>
          <w:sz w:val="24"/>
        </w:rPr>
        <w:t>附件2 响应供应商资格声明函</w:t>
      </w:r>
      <w:bookmarkEnd w:id="1072"/>
      <w:bookmarkEnd w:id="1073"/>
      <w:bookmarkEnd w:id="1074"/>
      <w:bookmarkEnd w:id="1075"/>
    </w:p>
    <w:p>
      <w:pPr>
        <w:jc w:val="center"/>
      </w:pPr>
    </w:p>
    <w:p>
      <w:pPr>
        <w:spacing w:line="360" w:lineRule="auto"/>
        <w:rPr>
          <w:b/>
          <w:sz w:val="24"/>
          <w:szCs w:val="24"/>
        </w:rPr>
      </w:pPr>
      <w:r>
        <w:rPr>
          <w:rFonts w:hint="eastAsia"/>
          <w:b/>
          <w:sz w:val="24"/>
        </w:rPr>
        <w:t>粤廉（广东）招标代理有限公司</w:t>
      </w:r>
      <w:r>
        <w:rPr>
          <w:rFonts w:hint="eastAsia"/>
          <w:b/>
          <w:sz w:val="24"/>
          <w:szCs w:val="24"/>
        </w:rPr>
        <w:t>：</w:t>
      </w:r>
    </w:p>
    <w:p>
      <w:pPr>
        <w:spacing w:line="360" w:lineRule="auto"/>
        <w:ind w:firstLine="424" w:firstLineChars="177"/>
        <w:rPr>
          <w:rFonts w:ascii="宋体" w:hAnsi="宋体"/>
          <w:sz w:val="24"/>
          <w:szCs w:val="24"/>
        </w:rPr>
      </w:pPr>
      <w:r>
        <w:rPr>
          <w:rFonts w:hint="eastAsia"/>
          <w:sz w:val="24"/>
          <w:szCs w:val="24"/>
        </w:rPr>
        <w:t>关于贵公司</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日发布</w:t>
      </w:r>
      <w:r>
        <w:rPr>
          <w:rFonts w:hint="eastAsia"/>
          <w:sz w:val="24"/>
          <w:szCs w:val="24"/>
          <w:u w:val="single"/>
        </w:rPr>
        <w:t xml:space="preserve">2023年广东省（阳江）海上大型综合应急演习组织服务采购项目 </w:t>
      </w:r>
      <w:r>
        <w:rPr>
          <w:rFonts w:hint="eastAsia"/>
          <w:sz w:val="24"/>
          <w:szCs w:val="24"/>
        </w:rPr>
        <w:t>（项目编号：</w:t>
      </w:r>
      <w:r>
        <w:rPr>
          <w:rFonts w:hint="eastAsia" w:ascii="宋体" w:cs="Tahoma"/>
          <w:bCs/>
          <w:sz w:val="24"/>
        </w:rPr>
        <w:t>YL202310303</w:t>
      </w:r>
      <w:r>
        <w:rPr>
          <w:rFonts w:hint="eastAsia" w:ascii="宋体" w:hAnsi="宋体"/>
          <w:sz w:val="24"/>
          <w:szCs w:val="24"/>
        </w:rPr>
        <w:t>）的</w:t>
      </w:r>
      <w:r>
        <w:rPr>
          <w:rFonts w:hint="eastAsia" w:ascii="宋体" w:hAnsi="宋体" w:cs="宋体"/>
          <w:sz w:val="24"/>
        </w:rPr>
        <w:t>采购</w:t>
      </w:r>
      <w:r>
        <w:rPr>
          <w:rFonts w:hint="eastAsia" w:ascii="宋体" w:hAnsi="宋体"/>
          <w:sz w:val="24"/>
          <w:szCs w:val="24"/>
        </w:rPr>
        <w:t>公告，我公司愿意参加</w:t>
      </w:r>
      <w:r>
        <w:rPr>
          <w:rFonts w:hint="eastAsia" w:ascii="宋体" w:hAnsi="宋体"/>
          <w:sz w:val="24"/>
        </w:rPr>
        <w:t>响应</w:t>
      </w:r>
      <w:r>
        <w:rPr>
          <w:rFonts w:hint="eastAsia" w:ascii="宋体" w:hAnsi="宋体"/>
          <w:sz w:val="24"/>
          <w:szCs w:val="24"/>
        </w:rPr>
        <w:t>，并声明：</w:t>
      </w:r>
    </w:p>
    <w:p>
      <w:pPr>
        <w:spacing w:line="360" w:lineRule="auto"/>
        <w:ind w:left="424" w:leftChars="-1" w:hanging="426"/>
        <w:rPr>
          <w:rFonts w:ascii="宋体" w:hAnsi="宋体"/>
          <w:sz w:val="24"/>
          <w:szCs w:val="24"/>
        </w:rPr>
      </w:pPr>
      <w:r>
        <w:rPr>
          <w:rFonts w:hint="eastAsia" w:ascii="宋体" w:hAnsi="宋体"/>
          <w:sz w:val="24"/>
          <w:szCs w:val="24"/>
        </w:rPr>
        <w:t>一、本公司具备以下资格条件：</w:t>
      </w:r>
    </w:p>
    <w:p>
      <w:pPr>
        <w:spacing w:line="360" w:lineRule="auto"/>
        <w:ind w:left="850" w:leftChars="202" w:hanging="426"/>
        <w:rPr>
          <w:rFonts w:ascii="宋体" w:hAnsi="宋体"/>
          <w:sz w:val="24"/>
          <w:szCs w:val="24"/>
        </w:rPr>
      </w:pPr>
      <w:r>
        <w:rPr>
          <w:rFonts w:hint="eastAsia" w:ascii="宋体" w:hAnsi="宋体"/>
          <w:sz w:val="24"/>
          <w:szCs w:val="24"/>
        </w:rPr>
        <w:t>（一）具有独立承担民事责任的能力；</w:t>
      </w:r>
    </w:p>
    <w:p>
      <w:pPr>
        <w:spacing w:line="360" w:lineRule="auto"/>
        <w:ind w:left="850" w:leftChars="202" w:hanging="426"/>
        <w:rPr>
          <w:rFonts w:ascii="宋体" w:hAnsi="宋体"/>
          <w:sz w:val="24"/>
          <w:szCs w:val="24"/>
        </w:rPr>
      </w:pPr>
      <w:r>
        <w:rPr>
          <w:rFonts w:hint="eastAsia" w:ascii="宋体" w:hAnsi="宋体"/>
          <w:sz w:val="24"/>
          <w:szCs w:val="24"/>
        </w:rPr>
        <w:t xml:space="preserve">（二）具有良好的商业信誉和健全的财务会计制度； </w:t>
      </w:r>
    </w:p>
    <w:p>
      <w:pPr>
        <w:spacing w:line="360" w:lineRule="auto"/>
        <w:ind w:left="850" w:leftChars="202" w:hanging="426"/>
        <w:rPr>
          <w:rFonts w:ascii="宋体" w:hAnsi="宋体"/>
          <w:sz w:val="24"/>
          <w:szCs w:val="24"/>
        </w:rPr>
      </w:pPr>
      <w:r>
        <w:rPr>
          <w:rFonts w:hint="eastAsia" w:ascii="宋体" w:hAnsi="宋体"/>
          <w:sz w:val="24"/>
          <w:szCs w:val="24"/>
        </w:rPr>
        <w:t>（三）具有履行合同所必需的设备和专业技术能力；</w:t>
      </w:r>
    </w:p>
    <w:p>
      <w:pPr>
        <w:spacing w:line="360" w:lineRule="auto"/>
        <w:ind w:left="850" w:leftChars="202" w:hanging="426"/>
        <w:rPr>
          <w:rFonts w:ascii="宋体" w:hAnsi="宋体"/>
          <w:sz w:val="24"/>
          <w:szCs w:val="24"/>
        </w:rPr>
      </w:pPr>
      <w:r>
        <w:rPr>
          <w:rFonts w:hint="eastAsia" w:ascii="宋体" w:hAnsi="宋体"/>
          <w:sz w:val="24"/>
          <w:szCs w:val="24"/>
        </w:rPr>
        <w:t>（四）有依法缴纳税收和社会保障资金的良好记录；</w:t>
      </w:r>
    </w:p>
    <w:p>
      <w:pPr>
        <w:spacing w:line="360" w:lineRule="auto"/>
        <w:ind w:left="850" w:leftChars="202" w:hanging="426"/>
        <w:rPr>
          <w:rFonts w:ascii="宋体" w:hAnsi="宋体"/>
          <w:sz w:val="24"/>
          <w:szCs w:val="24"/>
        </w:rPr>
      </w:pPr>
      <w:r>
        <w:rPr>
          <w:rFonts w:hint="eastAsia" w:ascii="宋体" w:hAnsi="宋体"/>
          <w:sz w:val="24"/>
          <w:szCs w:val="24"/>
        </w:rPr>
        <w:t>（五）参加招标采购前三年内，在经营活动中没有重大违法记录；</w:t>
      </w:r>
    </w:p>
    <w:p>
      <w:pPr>
        <w:spacing w:line="360" w:lineRule="auto"/>
        <w:ind w:left="850" w:leftChars="202" w:hanging="426"/>
        <w:rPr>
          <w:rFonts w:ascii="宋体" w:hAnsi="宋体"/>
          <w:sz w:val="24"/>
          <w:szCs w:val="24"/>
        </w:rPr>
      </w:pPr>
      <w:r>
        <w:rPr>
          <w:rFonts w:hint="eastAsia" w:ascii="宋体" w:hAnsi="宋体"/>
          <w:sz w:val="24"/>
          <w:szCs w:val="24"/>
        </w:rPr>
        <w:t>（六）法律、行政法规规定的其他条件。</w:t>
      </w:r>
    </w:p>
    <w:p>
      <w:pPr>
        <w:spacing w:line="360" w:lineRule="auto"/>
        <w:ind w:left="426" w:hanging="426"/>
        <w:rPr>
          <w:rFonts w:ascii="宋体" w:hAnsi="宋体"/>
          <w:sz w:val="24"/>
          <w:szCs w:val="24"/>
        </w:rPr>
      </w:pPr>
      <w:r>
        <w:rPr>
          <w:rFonts w:hint="eastAsia" w:ascii="宋体" w:hAnsi="宋体"/>
          <w:sz w:val="24"/>
          <w:szCs w:val="24"/>
        </w:rPr>
        <w:t>二、本公司（企业）的单位负责人与所参投的本</w:t>
      </w:r>
      <w:r>
        <w:rPr>
          <w:rFonts w:hint="eastAsia" w:ascii="宋体" w:hAnsi="宋体" w:cs="宋体"/>
          <w:sz w:val="24"/>
        </w:rPr>
        <w:t>采购项目</w:t>
      </w:r>
      <w:r>
        <w:rPr>
          <w:rFonts w:hint="eastAsia" w:ascii="宋体" w:hAnsi="宋体"/>
          <w:sz w:val="24"/>
          <w:szCs w:val="24"/>
        </w:rPr>
        <w:t>的其他响应供应商的单位负责人不为同一人且与其他响应供应商之间不存在直接控股、管理关系。</w:t>
      </w:r>
    </w:p>
    <w:p>
      <w:pPr>
        <w:spacing w:line="360" w:lineRule="auto"/>
        <w:ind w:left="426" w:hanging="426"/>
        <w:rPr>
          <w:rFonts w:ascii="宋体" w:hAnsi="宋体"/>
          <w:sz w:val="24"/>
          <w:szCs w:val="24"/>
        </w:rPr>
      </w:pPr>
      <w:r>
        <w:rPr>
          <w:rFonts w:hint="eastAsia" w:ascii="宋体" w:hAnsi="宋体"/>
          <w:sz w:val="24"/>
          <w:szCs w:val="24"/>
        </w:rPr>
        <w:t>三、本公司（企业）如为本</w:t>
      </w:r>
      <w:r>
        <w:rPr>
          <w:rFonts w:hint="eastAsia" w:ascii="宋体" w:hAnsi="宋体" w:cs="宋体"/>
          <w:sz w:val="24"/>
        </w:rPr>
        <w:t>采购项目</w:t>
      </w:r>
      <w:r>
        <w:rPr>
          <w:rFonts w:hint="eastAsia" w:ascii="宋体" w:hAnsi="宋体"/>
          <w:sz w:val="24"/>
          <w:szCs w:val="24"/>
        </w:rPr>
        <w:t>包组提供整体设计、规范编制或者项目管理、监理、检测等服务的响应供应商，不得再参加该</w:t>
      </w:r>
      <w:r>
        <w:rPr>
          <w:rFonts w:hint="eastAsia" w:ascii="宋体" w:hAnsi="宋体" w:cs="宋体"/>
          <w:sz w:val="24"/>
        </w:rPr>
        <w:t>采购项目</w:t>
      </w:r>
      <w:r>
        <w:rPr>
          <w:rFonts w:hint="eastAsia" w:ascii="宋体" w:hAnsi="宋体"/>
          <w:sz w:val="24"/>
          <w:szCs w:val="24"/>
        </w:rPr>
        <w:t>的其他</w:t>
      </w:r>
      <w:r>
        <w:rPr>
          <w:rFonts w:hint="eastAsia" w:ascii="宋体" w:hAnsi="宋体" w:cs="宋体"/>
          <w:sz w:val="24"/>
        </w:rPr>
        <w:t>招标采购</w:t>
      </w:r>
      <w:r>
        <w:rPr>
          <w:rFonts w:hint="eastAsia" w:ascii="宋体" w:hAnsi="宋体"/>
          <w:sz w:val="24"/>
          <w:szCs w:val="24"/>
        </w:rPr>
        <w:t>活动。否则，由此所造成的损失、不良后果及法律责任，一律由我公司（企业）承担。</w:t>
      </w:r>
    </w:p>
    <w:p>
      <w:pPr>
        <w:spacing w:line="360" w:lineRule="auto"/>
        <w:ind w:left="426" w:hanging="426"/>
        <w:rPr>
          <w:rFonts w:ascii="宋体" w:hAnsi="宋体"/>
          <w:sz w:val="24"/>
          <w:szCs w:val="24"/>
        </w:rPr>
      </w:pPr>
      <w:r>
        <w:rPr>
          <w:rFonts w:hint="eastAsia" w:ascii="宋体" w:hAnsi="宋体"/>
          <w:sz w:val="24"/>
          <w:szCs w:val="24"/>
        </w:rPr>
        <w:t>四、本公司（企业）承诺在本次招标采购活动中，如有违法、违规、弄虚作假行为，所造成的损失、不良后果及法律责任，一律由我公司（企业）承担。</w:t>
      </w:r>
    </w:p>
    <w:p>
      <w:pPr>
        <w:spacing w:line="360" w:lineRule="auto"/>
        <w:ind w:left="426" w:hanging="426"/>
        <w:rPr>
          <w:rFonts w:ascii="宋体" w:hAnsi="宋体"/>
          <w:sz w:val="24"/>
          <w:szCs w:val="24"/>
        </w:rPr>
      </w:pPr>
      <w:r>
        <w:rPr>
          <w:rFonts w:hint="eastAsia" w:ascii="宋体" w:hAnsi="宋体"/>
          <w:sz w:val="24"/>
          <w:szCs w:val="24"/>
        </w:rPr>
        <w:t xml:space="preserve">    特此声明！</w:t>
      </w:r>
    </w:p>
    <w:p>
      <w:pPr>
        <w:spacing w:line="360" w:lineRule="auto"/>
        <w:ind w:firstLine="420"/>
        <w:rPr>
          <w:b/>
          <w:sz w:val="24"/>
        </w:rPr>
      </w:pPr>
      <w:r>
        <w:rPr>
          <w:rFonts w:hint="eastAsia"/>
          <w:b/>
          <w:sz w:val="24"/>
        </w:rPr>
        <w:t>说明：本格式文件内容不得擅自删改。</w:t>
      </w:r>
    </w:p>
    <w:p>
      <w:pPr>
        <w:spacing w:line="360" w:lineRule="auto"/>
        <w:ind w:firstLine="420"/>
        <w:rPr>
          <w:sz w:val="24"/>
        </w:rPr>
      </w:pPr>
    </w:p>
    <w:p>
      <w:pPr>
        <w:spacing w:line="336" w:lineRule="auto"/>
        <w:ind w:firstLine="480"/>
        <w:rPr>
          <w:rFonts w:ascii="宋体" w:hAnsi="宋体"/>
          <w:sz w:val="24"/>
        </w:rPr>
      </w:pPr>
      <w:r>
        <w:rPr>
          <w:rFonts w:hint="eastAsia" w:ascii="宋体" w:hAnsi="宋体"/>
          <w:sz w:val="24"/>
        </w:rPr>
        <w:t>响应供应商全称（盖公章）：</w:t>
      </w:r>
    </w:p>
    <w:p>
      <w:pPr>
        <w:spacing w:line="336" w:lineRule="auto"/>
        <w:ind w:firstLine="480"/>
        <w:rPr>
          <w:rFonts w:ascii="宋体" w:hAnsi="宋体"/>
          <w:sz w:val="24"/>
        </w:rPr>
      </w:pPr>
      <w:r>
        <w:rPr>
          <w:rFonts w:hint="eastAsia" w:ascii="宋体" w:hAnsi="宋体"/>
          <w:sz w:val="24"/>
        </w:rPr>
        <w:t>法定代表人或授权代表（签名或盖章）：</w:t>
      </w:r>
    </w:p>
    <w:p>
      <w:pPr>
        <w:spacing w:line="336" w:lineRule="auto"/>
        <w:ind w:firstLine="480"/>
        <w:rPr>
          <w:rFonts w:ascii="宋体" w:hAnsi="宋体"/>
          <w:sz w:val="24"/>
        </w:rPr>
      </w:pPr>
      <w:r>
        <w:rPr>
          <w:rFonts w:hint="eastAsia" w:ascii="宋体" w:hAnsi="宋体"/>
          <w:sz w:val="24"/>
        </w:rPr>
        <w:t>日    期：     年   月   日</w:t>
      </w:r>
    </w:p>
    <w:p>
      <w:pPr>
        <w:spacing w:line="480" w:lineRule="auto"/>
        <w:ind w:firstLine="420"/>
      </w:pPr>
    </w:p>
    <w:p>
      <w:pPr>
        <w:spacing w:line="360" w:lineRule="auto"/>
        <w:outlineLvl w:val="2"/>
        <w:rPr>
          <w:rFonts w:ascii="宋体" w:hAnsi="宋体"/>
          <w:b/>
          <w:sz w:val="28"/>
          <w:szCs w:val="28"/>
        </w:rPr>
      </w:pPr>
      <w:r>
        <w:br w:type="page"/>
      </w:r>
      <w:bookmarkStart w:id="1076" w:name="_Toc91288866"/>
      <w:bookmarkStart w:id="1077" w:name="_Toc107906750"/>
      <w:bookmarkStart w:id="1078" w:name="_Toc149248252"/>
      <w:bookmarkStart w:id="1079" w:name="_Toc92978554"/>
      <w:bookmarkStart w:id="1080" w:name="_Toc92459755"/>
      <w:r>
        <w:rPr>
          <w:rFonts w:hint="eastAsia" w:ascii="宋体" w:hAnsi="宋体"/>
          <w:b/>
          <w:sz w:val="24"/>
        </w:rPr>
        <w:t>附件2-1 营业执照</w:t>
      </w:r>
      <w:bookmarkEnd w:id="1076"/>
      <w:bookmarkEnd w:id="1077"/>
      <w:bookmarkEnd w:id="1078"/>
      <w:bookmarkEnd w:id="1079"/>
      <w:bookmarkEnd w:id="1080"/>
    </w:p>
    <w:p>
      <w:pPr>
        <w:spacing w:line="360" w:lineRule="auto"/>
        <w:rPr>
          <w:rFonts w:ascii="宋体" w:hAnsi="宋体"/>
          <w:b/>
          <w:sz w:val="24"/>
        </w:rPr>
      </w:pPr>
    </w:p>
    <w:p>
      <w:pPr>
        <w:spacing w:line="360" w:lineRule="auto"/>
        <w:rPr>
          <w:rFonts w:ascii="宋体" w:hAnsi="宋体"/>
          <w:b/>
          <w:sz w:val="24"/>
        </w:rPr>
      </w:pPr>
    </w:p>
    <w:p/>
    <w:p/>
    <w:p/>
    <w:p/>
    <w:p>
      <w:pPr>
        <w:spacing w:line="360" w:lineRule="auto"/>
        <w:outlineLvl w:val="2"/>
        <w:rPr>
          <w:rFonts w:ascii="宋体" w:hAnsi="宋体"/>
          <w:b/>
          <w:sz w:val="24"/>
        </w:rPr>
      </w:pPr>
      <w:bookmarkStart w:id="1081" w:name="_Toc107906751"/>
      <w:bookmarkStart w:id="1082" w:name="_Toc92978555"/>
      <w:bookmarkStart w:id="1083" w:name="_Toc92459756"/>
      <w:bookmarkStart w:id="1084" w:name="_Toc149248253"/>
      <w:r>
        <w:rPr>
          <w:rFonts w:hint="eastAsia" w:ascii="宋体" w:hAnsi="宋体"/>
          <w:b/>
          <w:sz w:val="24"/>
        </w:rPr>
        <w:t>附件2-2</w:t>
      </w:r>
      <w:r>
        <w:rPr>
          <w:rFonts w:ascii="宋体" w:hAnsi="宋体"/>
          <w:b/>
          <w:sz w:val="24"/>
        </w:rPr>
        <w:t xml:space="preserve"> 信用信息</w:t>
      </w:r>
      <w:bookmarkEnd w:id="1081"/>
      <w:bookmarkEnd w:id="1082"/>
      <w:bookmarkEnd w:id="1083"/>
      <w:bookmarkEnd w:id="1084"/>
    </w:p>
    <w:p>
      <w:pPr>
        <w:tabs>
          <w:tab w:val="left" w:pos="0"/>
        </w:tabs>
        <w:spacing w:line="360" w:lineRule="auto"/>
        <w:ind w:left="1" w:firstLine="480" w:firstLineChars="200"/>
        <w:rPr>
          <w:rFonts w:ascii="仿宋" w:hAnsi="仿宋" w:eastAsia="仿宋"/>
          <w:bCs/>
          <w:sz w:val="24"/>
        </w:rPr>
      </w:pPr>
      <w:r>
        <w:rPr>
          <w:rFonts w:hint="eastAsia" w:ascii="仿宋" w:hAnsi="仿宋" w:eastAsia="仿宋"/>
          <w:bCs/>
          <w:sz w:val="24"/>
        </w:rPr>
        <w:t>响应供应商未被列入“中国执行信息公开网”（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outlineLvl w:val="2"/>
        <w:rPr>
          <w:rFonts w:ascii="宋体" w:hAnsi="宋体"/>
          <w:b/>
          <w:sz w:val="24"/>
        </w:rPr>
      </w:pPr>
      <w:bookmarkStart w:id="1085" w:name="_Toc107906752"/>
      <w:bookmarkStart w:id="1086" w:name="_Toc92459757"/>
      <w:bookmarkStart w:id="1087" w:name="_Toc92978556"/>
      <w:bookmarkStart w:id="1088" w:name="_Toc149248254"/>
      <w:r>
        <w:rPr>
          <w:rFonts w:hint="eastAsia" w:ascii="宋体" w:hAnsi="宋体"/>
          <w:b/>
          <w:sz w:val="24"/>
        </w:rPr>
        <w:t>附件2-3 其他特定资格要求</w:t>
      </w:r>
      <w:bookmarkEnd w:id="1085"/>
      <w:bookmarkEnd w:id="1086"/>
      <w:bookmarkEnd w:id="1087"/>
      <w:bookmarkEnd w:id="1088"/>
    </w:p>
    <w:p>
      <w:pPr>
        <w:tabs>
          <w:tab w:val="left" w:pos="0"/>
        </w:tabs>
        <w:spacing w:line="360" w:lineRule="auto"/>
        <w:ind w:left="1" w:firstLine="2"/>
        <w:rPr>
          <w:rFonts w:ascii="宋体" w:hAnsi="宋体"/>
          <w:b/>
          <w:bCs/>
        </w:rPr>
      </w:pPr>
    </w:p>
    <w:p>
      <w:pPr>
        <w:tabs>
          <w:tab w:val="left" w:pos="0"/>
        </w:tabs>
        <w:spacing w:line="360" w:lineRule="auto"/>
        <w:ind w:left="1" w:firstLine="2"/>
        <w:rPr>
          <w:rFonts w:ascii="仿宋" w:hAnsi="仿宋" w:eastAsia="仿宋"/>
          <w:bCs/>
          <w:sz w:val="24"/>
        </w:rPr>
      </w:pPr>
      <w:r>
        <w:rPr>
          <w:rFonts w:hint="eastAsia" w:ascii="仿宋" w:hAnsi="仿宋" w:eastAsia="仿宋"/>
          <w:bCs/>
          <w:sz w:val="24"/>
        </w:rPr>
        <w:t>注：若有特定资格条款，请按照磋商文件要求提供。</w:t>
      </w:r>
    </w:p>
    <w:p>
      <w:pPr>
        <w:pStyle w:val="3"/>
        <w:spacing w:line="360" w:lineRule="auto"/>
        <w:ind w:firstLine="0"/>
        <w:rPr>
          <w:sz w:val="28"/>
          <w:szCs w:val="28"/>
        </w:rPr>
      </w:pPr>
    </w:p>
    <w:p>
      <w:pPr>
        <w:spacing w:line="360" w:lineRule="auto"/>
        <w:ind w:firstLine="420"/>
        <w:rPr>
          <w:sz w:val="24"/>
        </w:rPr>
      </w:pPr>
    </w:p>
    <w:p>
      <w:pPr>
        <w:spacing w:line="360" w:lineRule="auto"/>
        <w:ind w:left="480"/>
        <w:rPr>
          <w:rFonts w:ascii="宋体" w:hAnsi="宋体"/>
          <w:sz w:val="24"/>
          <w:szCs w:val="24"/>
        </w:rPr>
      </w:pPr>
      <w:r>
        <w:rPr>
          <w:rFonts w:hint="eastAsia"/>
          <w:sz w:val="24"/>
          <w:szCs w:val="24"/>
        </w:rPr>
        <w:t xml:space="preserve">     </w:t>
      </w:r>
    </w:p>
    <w:p>
      <w:pPr>
        <w:spacing w:line="360" w:lineRule="auto"/>
        <w:outlineLvl w:val="1"/>
        <w:rPr>
          <w:sz w:val="28"/>
          <w:szCs w:val="28"/>
        </w:rPr>
      </w:pPr>
      <w:bookmarkStart w:id="1089" w:name="_Toc482255098"/>
      <w:r>
        <w:rPr>
          <w:sz w:val="28"/>
          <w:szCs w:val="28"/>
        </w:rPr>
        <w:br w:type="page"/>
      </w:r>
      <w:bookmarkStart w:id="1090" w:name="_Toc91288869"/>
      <w:bookmarkStart w:id="1091" w:name="_Toc149248255"/>
      <w:bookmarkStart w:id="1092" w:name="_Toc90148940"/>
      <w:r>
        <w:rPr>
          <w:rFonts w:hint="eastAsia" w:ascii="宋体" w:hAnsi="宋体" w:cs="Tahoma"/>
          <w:b/>
          <w:sz w:val="24"/>
        </w:rPr>
        <w:t>附件3 法定代表人证明书</w:t>
      </w:r>
      <w:bookmarkEnd w:id="1089"/>
      <w:bookmarkEnd w:id="1090"/>
      <w:bookmarkEnd w:id="1091"/>
      <w:bookmarkEnd w:id="1092"/>
    </w:p>
    <w:p>
      <w:pPr>
        <w:spacing w:line="360" w:lineRule="auto"/>
        <w:rPr>
          <w:rFonts w:ascii="宋体" w:hAnsi="宋体"/>
          <w:b/>
          <w:bCs/>
          <w:sz w:val="28"/>
          <w:u w:val="single"/>
        </w:rPr>
      </w:pPr>
    </w:p>
    <w:p>
      <w:pPr>
        <w:spacing w:line="360" w:lineRule="auto"/>
        <w:ind w:firstLine="424" w:firstLineChars="177"/>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hAnsi="宋体"/>
          <w:sz w:val="24"/>
        </w:rPr>
        <w:t>本证明书自签发之日起生效。</w:t>
      </w:r>
    </w:p>
    <w:p>
      <w:pPr>
        <w:pStyle w:val="4"/>
        <w:spacing w:line="360" w:lineRule="auto"/>
        <w:ind w:firstLine="480" w:firstLineChars="200"/>
        <w:rPr>
          <w:rFonts w:ascii="宋体" w:hAnsi="宋体"/>
          <w:sz w:val="24"/>
        </w:rPr>
      </w:pPr>
      <w:r>
        <w:rPr>
          <w:rFonts w:hint="eastAsia" w:ascii="宋体" w:hAnsi="宋体"/>
          <w:sz w:val="24"/>
        </w:rPr>
        <w:t>签发日期：___年___月___日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单位名称（盖章）：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480" w:firstLineChars="200"/>
        <w:rPr>
          <w:rFonts w:ascii="宋体" w:hAnsi="宋体"/>
          <w:sz w:val="24"/>
        </w:rPr>
      </w:pPr>
      <w:r>
        <w:rPr>
          <w:rFonts w:hint="eastAsia" w:ascii="宋体" w:hAnsi="宋体"/>
          <w:sz w:val="24"/>
        </w:rPr>
        <w:t>代表人性别：</w:t>
      </w:r>
    </w:p>
    <w:p>
      <w:pPr>
        <w:spacing w:line="480" w:lineRule="auto"/>
        <w:ind w:firstLine="480" w:firstLineChars="200"/>
        <w:rPr>
          <w:rFonts w:ascii="宋体" w:hAnsi="宋体"/>
          <w:sz w:val="24"/>
        </w:rPr>
      </w:pPr>
      <w:r>
        <w:rPr>
          <w:rFonts w:hint="eastAsia" w:ascii="宋体" w:hAnsi="宋体"/>
          <w:sz w:val="24"/>
        </w:rPr>
        <w:t>年龄：</w:t>
      </w:r>
    </w:p>
    <w:p>
      <w:pPr>
        <w:spacing w:line="480" w:lineRule="auto"/>
        <w:ind w:firstLine="480" w:firstLineChars="200"/>
        <w:rPr>
          <w:rFonts w:ascii="宋体" w:hAnsi="宋体"/>
          <w:sz w:val="24"/>
        </w:rPr>
      </w:pPr>
      <w:r>
        <w:rPr>
          <w:rFonts w:hint="eastAsia" w:ascii="宋体" w:hAnsi="宋体"/>
          <w:sz w:val="24"/>
        </w:rPr>
        <w:t>身份证号码：</w:t>
      </w:r>
    </w:p>
    <w:p>
      <w:pPr>
        <w:spacing w:line="480" w:lineRule="auto"/>
        <w:ind w:firstLine="480" w:firstLineChars="200"/>
        <w:rPr>
          <w:rFonts w:ascii="宋体" w:hAnsi="宋体"/>
          <w:sz w:val="24"/>
        </w:rPr>
      </w:pPr>
      <w:r>
        <w:rPr>
          <w:rFonts w:hint="eastAsia" w:ascii="宋体" w:hAnsi="宋体"/>
          <w:sz w:val="24"/>
        </w:rPr>
        <w:t>营业执照</w:t>
      </w:r>
      <w:r>
        <w:rPr>
          <w:rFonts w:ascii="宋体" w:hAnsi="宋体"/>
          <w:sz w:val="24"/>
        </w:rPr>
        <w:t>（</w:t>
      </w:r>
      <w:r>
        <w:rPr>
          <w:rFonts w:hint="eastAsia" w:ascii="宋体" w:hAnsi="宋体"/>
          <w:sz w:val="24"/>
        </w:rPr>
        <w:t>注册号</w:t>
      </w:r>
      <w:r>
        <w:rPr>
          <w:rFonts w:ascii="宋体" w:hAnsi="宋体"/>
          <w:sz w:val="24"/>
        </w:rPr>
        <w:t>）</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经营范围：</w:t>
      </w:r>
    </w:p>
    <w:tbl>
      <w:tblPr>
        <w:tblStyle w:val="17"/>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5000" w:type="pct"/>
            <w:vAlign w:val="center"/>
          </w:tcPr>
          <w:p>
            <w:pPr>
              <w:spacing w:line="480" w:lineRule="auto"/>
              <w:jc w:val="center"/>
              <w:rPr>
                <w:rFonts w:ascii="宋体" w:hAnsi="宋体"/>
                <w:b/>
                <w:sz w:val="24"/>
              </w:rPr>
            </w:pPr>
            <w:r>
              <w:rPr>
                <w:rFonts w:hint="eastAsia" w:ascii="宋体" w:hAnsi="宋体"/>
                <w:b/>
                <w:sz w:val="24"/>
              </w:rPr>
              <w:t>法定代表人</w:t>
            </w:r>
          </w:p>
          <w:p>
            <w:pPr>
              <w:spacing w:line="480" w:lineRule="auto"/>
              <w:jc w:val="center"/>
              <w:rPr>
                <w:rFonts w:ascii="宋体" w:hAnsi="宋体"/>
                <w:sz w:val="24"/>
              </w:rPr>
            </w:pPr>
            <w:r>
              <w:rPr>
                <w:rFonts w:hint="eastAsia" w:ascii="宋体" w:hAnsi="宋体"/>
                <w:b/>
                <w:sz w:val="24"/>
              </w:rPr>
              <w:t>居民身份证复印件粘贴处（正、反面）</w:t>
            </w:r>
          </w:p>
        </w:tc>
      </w:tr>
    </w:tbl>
    <w:p>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注：此委托书一式两份，一份装订在响应文件内，另一份由授权代表携带出席开标会。</w:t>
      </w:r>
    </w:p>
    <w:p>
      <w:pPr>
        <w:widowControl/>
        <w:jc w:val="left"/>
        <w:rPr>
          <w:rFonts w:ascii="宋体" w:hAnsi="宋体"/>
          <w:b/>
          <w:sz w:val="28"/>
          <w:szCs w:val="28"/>
        </w:rPr>
      </w:pPr>
      <w:bookmarkStart w:id="1093" w:name="_Toc482255099"/>
      <w:bookmarkStart w:id="1094" w:name="_Toc91288870"/>
      <w:bookmarkStart w:id="1095" w:name="_Toc90148941"/>
      <w:r>
        <w:rPr>
          <w:sz w:val="28"/>
          <w:szCs w:val="28"/>
        </w:rPr>
        <w:br w:type="page"/>
      </w:r>
    </w:p>
    <w:p>
      <w:pPr>
        <w:spacing w:line="360" w:lineRule="auto"/>
        <w:outlineLvl w:val="1"/>
        <w:rPr>
          <w:rFonts w:ascii="宋体" w:hAnsi="宋体" w:cs="Tahoma"/>
          <w:b/>
          <w:sz w:val="24"/>
        </w:rPr>
      </w:pPr>
      <w:bookmarkStart w:id="1096" w:name="_Toc149248256"/>
      <w:r>
        <w:rPr>
          <w:rFonts w:hint="eastAsia" w:ascii="宋体" w:hAnsi="宋体" w:cs="Tahoma"/>
          <w:b/>
          <w:sz w:val="24"/>
        </w:rPr>
        <w:t>附件4 法定代表人授权委托书</w:t>
      </w:r>
      <w:bookmarkEnd w:id="1093"/>
      <w:bookmarkEnd w:id="1094"/>
      <w:bookmarkEnd w:id="1095"/>
      <w:bookmarkEnd w:id="1096"/>
    </w:p>
    <w:p>
      <w:pPr>
        <w:rPr>
          <w:rFonts w:ascii="宋体" w:hAnsi="宋体"/>
          <w:sz w:val="24"/>
        </w:rPr>
      </w:pPr>
    </w:p>
    <w:p>
      <w:pPr>
        <w:spacing w:line="360" w:lineRule="auto"/>
        <w:ind w:left="2" w:firstLine="460" w:firstLineChars="192"/>
        <w:rPr>
          <w:rFonts w:ascii="宋体" w:hAnsi="宋体"/>
          <w:sz w:val="24"/>
        </w:rPr>
      </w:pPr>
      <w:r>
        <w:rPr>
          <w:rFonts w:hint="eastAsia" w:ascii="宋体" w:hAnsi="宋体"/>
          <w:sz w:val="24"/>
        </w:rPr>
        <w:t>本授权书声明：注册于</w:t>
      </w:r>
      <w:r>
        <w:rPr>
          <w:rFonts w:hint="eastAsia" w:ascii="宋体" w:hAnsi="宋体"/>
          <w:sz w:val="24"/>
          <w:u w:val="single"/>
        </w:rPr>
        <w:t>（响应供应商地址）</w:t>
      </w:r>
      <w:r>
        <w:rPr>
          <w:rFonts w:hint="eastAsia" w:ascii="宋体" w:hAnsi="宋体"/>
          <w:sz w:val="24"/>
        </w:rPr>
        <w:t>的</w:t>
      </w:r>
      <w:r>
        <w:rPr>
          <w:rFonts w:hint="eastAsia" w:ascii="宋体" w:hAnsi="宋体"/>
          <w:sz w:val="24"/>
          <w:u w:val="single"/>
        </w:rPr>
        <w:t>（响应供应商名称）</w:t>
      </w:r>
      <w:r>
        <w:rPr>
          <w:rFonts w:hint="eastAsia" w:ascii="宋体" w:hAnsi="宋体"/>
          <w:sz w:val="24"/>
        </w:rPr>
        <w:t>在下面签字的（法定代表人姓名、职务）在此授权</w:t>
      </w:r>
      <w:r>
        <w:rPr>
          <w:rFonts w:hint="eastAsia" w:ascii="宋体" w:hAnsi="宋体"/>
          <w:sz w:val="24"/>
          <w:u w:val="single"/>
        </w:rPr>
        <w:t>（被授权代表姓名、职务）</w:t>
      </w:r>
      <w:r>
        <w:rPr>
          <w:rFonts w:hint="eastAsia" w:ascii="宋体" w:hAnsi="宋体"/>
          <w:sz w:val="24"/>
        </w:rPr>
        <w:t>为本公司的合法授权人，就项目编号为“</w:t>
      </w:r>
      <w:r>
        <w:rPr>
          <w:rFonts w:hint="eastAsia" w:ascii="宋体" w:cs="Tahoma"/>
          <w:bCs/>
          <w:sz w:val="24"/>
        </w:rPr>
        <w:t>YL202310303</w:t>
      </w:r>
      <w:r>
        <w:rPr>
          <w:rFonts w:hint="eastAsia" w:ascii="宋体" w:hAnsi="宋体"/>
          <w:sz w:val="24"/>
        </w:rPr>
        <w:t>”</w:t>
      </w:r>
      <w:r>
        <w:rPr>
          <w:rFonts w:hint="eastAsia" w:ascii="宋体" w:hAnsi="宋体"/>
          <w:sz w:val="24"/>
          <w:shd w:val="clear" w:color="auto" w:fill="FFFFFF"/>
        </w:rPr>
        <w:t>的</w:t>
      </w:r>
      <w:r>
        <w:rPr>
          <w:rFonts w:hint="eastAsia" w:ascii="宋体" w:hAnsi="宋体"/>
          <w:sz w:val="24"/>
        </w:rPr>
        <w:t>2023年广东省（阳江）海上大型综合应急演习组织服务采购项目 的响应和合同执行，作为响应供应商代表以本公司的名义处理一切与之有关的事宜。</w:t>
      </w:r>
    </w:p>
    <w:p>
      <w:pPr>
        <w:spacing w:line="360" w:lineRule="auto"/>
        <w:ind w:left="2" w:firstLine="460" w:firstLineChars="192"/>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单位名称（加盖公章）：</w:t>
      </w:r>
    </w:p>
    <w:p>
      <w:pPr>
        <w:spacing w:line="360" w:lineRule="auto"/>
        <w:ind w:firstLine="480" w:firstLineChars="200"/>
        <w:rPr>
          <w:rFonts w:ascii="宋体" w:hAnsi="宋体"/>
        </w:rPr>
      </w:pPr>
      <w:r>
        <w:rPr>
          <w:rFonts w:hint="eastAsia" w:ascii="宋体" w:hAnsi="宋体"/>
          <w:sz w:val="24"/>
        </w:rPr>
        <w:t>地址：</w:t>
      </w:r>
    </w:p>
    <w:p>
      <w:pPr>
        <w:pStyle w:val="5"/>
        <w:spacing w:line="360" w:lineRule="auto"/>
      </w:pPr>
    </w:p>
    <w:p>
      <w:pPr>
        <w:spacing w:line="360" w:lineRule="auto"/>
        <w:ind w:firstLine="480" w:firstLineChars="200"/>
        <w:rPr>
          <w:rFonts w:ascii="宋体" w:hAnsi="宋体"/>
          <w:sz w:val="24"/>
        </w:rPr>
      </w:pPr>
      <w:r>
        <w:rPr>
          <w:rFonts w:hint="eastAsia" w:ascii="宋体" w:hAnsi="宋体"/>
          <w:sz w:val="24"/>
        </w:rPr>
        <w:t>法定代表人（签字或盖章）：</w:t>
      </w:r>
    </w:p>
    <w:p>
      <w:pPr>
        <w:spacing w:line="360" w:lineRule="auto"/>
        <w:ind w:firstLine="480" w:firstLineChars="200"/>
        <w:rPr>
          <w:rFonts w:ascii="宋体" w:hAnsi="宋体"/>
          <w:sz w:val="24"/>
        </w:rPr>
      </w:pPr>
      <w:r>
        <w:rPr>
          <w:rFonts w:hint="eastAsia" w:ascii="宋体" w:hAnsi="宋体"/>
          <w:sz w:val="24"/>
        </w:rPr>
        <w:t>职务：</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代表人（被授权人）签字：</w:t>
      </w:r>
    </w:p>
    <w:p>
      <w:pPr>
        <w:spacing w:line="360" w:lineRule="auto"/>
        <w:ind w:firstLine="480" w:firstLineChars="200"/>
        <w:rPr>
          <w:rFonts w:ascii="宋体" w:hAnsi="宋体"/>
        </w:rPr>
      </w:pPr>
      <w:r>
        <w:rPr>
          <w:rFonts w:hint="eastAsia" w:ascii="宋体" w:hAnsi="宋体"/>
          <w:sz w:val="24"/>
        </w:rPr>
        <w:t>职务：</w:t>
      </w:r>
    </w:p>
    <w:p>
      <w:pPr>
        <w:spacing w:line="360" w:lineRule="auto"/>
        <w:rPr>
          <w:rFonts w:ascii="宋体" w:hAnsi="宋体"/>
          <w:sz w:val="24"/>
        </w:rPr>
      </w:pPr>
    </w:p>
    <w:tbl>
      <w:tblPr>
        <w:tblStyle w:val="17"/>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5000" w:type="pct"/>
            <w:vAlign w:val="center"/>
          </w:tcPr>
          <w:p>
            <w:pPr>
              <w:pStyle w:val="25"/>
              <w:ind w:left="105"/>
              <w:jc w:val="center"/>
              <w:rPr>
                <w:b/>
              </w:rPr>
            </w:pPr>
            <w:r>
              <w:rPr>
                <w:rFonts w:hint="eastAsia"/>
                <w:b/>
              </w:rPr>
              <w:t>被授权人（授权代表）</w:t>
            </w:r>
          </w:p>
          <w:p>
            <w:pPr>
              <w:pStyle w:val="25"/>
              <w:ind w:left="105"/>
              <w:jc w:val="center"/>
            </w:pPr>
            <w:r>
              <w:rPr>
                <w:rFonts w:hint="eastAsia"/>
                <w:b/>
              </w:rPr>
              <w:t>居民身份证复印件粘贴处（正、反面）</w:t>
            </w:r>
          </w:p>
        </w:tc>
      </w:tr>
    </w:tbl>
    <w:p>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注：此委托书一式两份，一份装订在响应文件内，另一份由授权代表携带出席开标会。</w:t>
      </w:r>
    </w:p>
    <w:p>
      <w:pPr>
        <w:spacing w:line="480" w:lineRule="auto"/>
        <w:ind w:firstLine="480" w:firstLineChars="200"/>
        <w:rPr>
          <w:rFonts w:ascii="仿宋" w:hAnsi="仿宋" w:eastAsia="仿宋"/>
          <w:sz w:val="24"/>
        </w:rPr>
      </w:pPr>
      <w:r>
        <w:rPr>
          <w:rFonts w:hint="eastAsia" w:ascii="仿宋" w:hAnsi="仿宋" w:eastAsia="仿宋"/>
          <w:sz w:val="24"/>
        </w:rPr>
        <w:t>说明：法定代表人亲自办理响应事宜的，则无需提交法定代表人授权委托书。</w:t>
      </w:r>
    </w:p>
    <w:p>
      <w:pPr>
        <w:spacing w:line="360" w:lineRule="auto"/>
        <w:outlineLvl w:val="1"/>
        <w:rPr>
          <w:sz w:val="28"/>
          <w:szCs w:val="28"/>
        </w:rPr>
      </w:pPr>
      <w:r>
        <w:rPr>
          <w:bCs/>
        </w:rPr>
        <w:br w:type="page"/>
      </w:r>
      <w:bookmarkStart w:id="1097" w:name="_Toc91288871"/>
      <w:bookmarkStart w:id="1098" w:name="_Toc482255101"/>
      <w:bookmarkStart w:id="1099" w:name="_Toc149248257"/>
      <w:bookmarkStart w:id="1100" w:name="_Toc90148942"/>
      <w:r>
        <w:rPr>
          <w:rFonts w:hint="eastAsia" w:ascii="宋体" w:hAnsi="宋体" w:cs="Tahoma"/>
          <w:b/>
          <w:sz w:val="24"/>
        </w:rPr>
        <w:t>附件5 采购需求书响应表</w:t>
      </w:r>
      <w:bookmarkEnd w:id="1097"/>
      <w:bookmarkEnd w:id="1098"/>
      <w:bookmarkEnd w:id="1099"/>
      <w:bookmarkEnd w:id="1100"/>
    </w:p>
    <w:tbl>
      <w:tblPr>
        <w:tblStyle w:val="17"/>
        <w:tblW w:w="97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672"/>
        <w:gridCol w:w="3119"/>
        <w:gridCol w:w="3424"/>
        <w:gridCol w:w="2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868" w:hRule="atLeast"/>
          <w:jc w:val="center"/>
        </w:trPr>
        <w:tc>
          <w:tcPr>
            <w:tcW w:w="672" w:type="dxa"/>
            <w:shd w:val="clear" w:color="auto" w:fill="D9D9D9"/>
            <w:vAlign w:val="center"/>
          </w:tcPr>
          <w:p>
            <w:pPr>
              <w:jc w:val="center"/>
              <w:rPr>
                <w:rFonts w:ascii="宋体" w:hAnsi="宋体"/>
                <w:b/>
                <w:bCs/>
                <w:sz w:val="24"/>
                <w:szCs w:val="24"/>
              </w:rPr>
            </w:pPr>
            <w:r>
              <w:rPr>
                <w:rFonts w:hint="eastAsia" w:ascii="宋体" w:hAnsi="宋体"/>
                <w:b/>
                <w:bCs/>
                <w:sz w:val="24"/>
                <w:szCs w:val="24"/>
              </w:rPr>
              <w:t>序号</w:t>
            </w:r>
          </w:p>
        </w:tc>
        <w:tc>
          <w:tcPr>
            <w:tcW w:w="3119" w:type="dxa"/>
            <w:shd w:val="clear" w:color="auto" w:fill="D9D9D9"/>
            <w:vAlign w:val="center"/>
          </w:tcPr>
          <w:p>
            <w:pPr>
              <w:jc w:val="center"/>
              <w:rPr>
                <w:rFonts w:ascii="宋体" w:hAnsi="宋体"/>
                <w:b/>
                <w:bCs/>
                <w:sz w:val="24"/>
                <w:szCs w:val="24"/>
              </w:rPr>
            </w:pPr>
            <w:r>
              <w:rPr>
                <w:rFonts w:hint="eastAsia" w:ascii="宋体" w:hAnsi="宋体"/>
                <w:b/>
                <w:bCs/>
                <w:sz w:val="24"/>
                <w:szCs w:val="24"/>
              </w:rPr>
              <w:t>采购需求书要求</w:t>
            </w:r>
          </w:p>
        </w:tc>
        <w:tc>
          <w:tcPr>
            <w:tcW w:w="3424" w:type="dxa"/>
            <w:shd w:val="clear" w:color="auto" w:fill="D9D9D9"/>
            <w:vAlign w:val="center"/>
          </w:tcPr>
          <w:p>
            <w:pPr>
              <w:jc w:val="center"/>
              <w:rPr>
                <w:rFonts w:ascii="宋体" w:hAnsi="宋体"/>
                <w:b/>
                <w:sz w:val="24"/>
                <w:szCs w:val="24"/>
              </w:rPr>
            </w:pPr>
            <w:r>
              <w:rPr>
                <w:rFonts w:hint="eastAsia" w:ascii="宋体" w:hAnsi="宋体"/>
                <w:b/>
                <w:sz w:val="24"/>
                <w:szCs w:val="24"/>
              </w:rPr>
              <w:t>响应供应商响应情况描述</w:t>
            </w:r>
          </w:p>
        </w:tc>
        <w:tc>
          <w:tcPr>
            <w:tcW w:w="2500" w:type="dxa"/>
            <w:shd w:val="clear" w:color="auto" w:fill="D9D9D9"/>
            <w:vAlign w:val="center"/>
          </w:tcPr>
          <w:p>
            <w:pPr>
              <w:jc w:val="center"/>
              <w:rPr>
                <w:rFonts w:ascii="宋体" w:hAnsi="宋体"/>
                <w:b/>
                <w:sz w:val="24"/>
                <w:szCs w:val="24"/>
              </w:rPr>
            </w:pPr>
            <w:r>
              <w:rPr>
                <w:rFonts w:hint="eastAsia" w:ascii="宋体" w:hAnsi="宋体"/>
                <w:b/>
                <w:sz w:val="24"/>
                <w:szCs w:val="24"/>
              </w:rPr>
              <w:t>偏离说明（正偏离/完全响应/负偏离）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
                <w:bCs/>
                <w:sz w:val="24"/>
                <w:szCs w:val="24"/>
              </w:rPr>
            </w:pPr>
            <w:r>
              <w:rPr>
                <w:rFonts w:hint="eastAsia" w:ascii="宋体" w:hAnsi="宋体"/>
                <w:b/>
                <w:bCs/>
                <w:sz w:val="24"/>
                <w:szCs w:val="24"/>
              </w:rPr>
              <w:t>…</w:t>
            </w:r>
          </w:p>
        </w:tc>
        <w:tc>
          <w:tcPr>
            <w:tcW w:w="3119" w:type="dxa"/>
            <w:vAlign w:val="center"/>
          </w:tcPr>
          <w:p>
            <w:pPr>
              <w:rPr>
                <w:rFonts w:ascii="宋体" w:hAnsi="宋体"/>
                <w:b/>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bl>
    <w:p>
      <w:pPr>
        <w:adjustRightInd w:val="0"/>
        <w:snapToGrid w:val="0"/>
        <w:spacing w:line="360" w:lineRule="auto"/>
        <w:ind w:firstLine="480" w:firstLineChars="200"/>
        <w:rPr>
          <w:rFonts w:ascii="仿宋" w:hAnsi="仿宋" w:eastAsia="仿宋"/>
          <w:color w:val="000000"/>
          <w:sz w:val="24"/>
          <w:szCs w:val="21"/>
        </w:rPr>
      </w:pPr>
      <w:r>
        <w:rPr>
          <w:rFonts w:hint="eastAsia" w:ascii="仿宋" w:hAnsi="仿宋" w:eastAsia="仿宋"/>
          <w:color w:val="000000"/>
          <w:sz w:val="24"/>
          <w:szCs w:val="21"/>
        </w:rPr>
        <w:t>注：</w:t>
      </w:r>
      <w:r>
        <w:rPr>
          <w:rFonts w:hint="eastAsia" w:ascii="仿宋" w:hAnsi="仿宋" w:eastAsia="仿宋"/>
          <w:color w:val="000000"/>
          <w:sz w:val="24"/>
        </w:rPr>
        <w:t>标有“★”的条款均为必须完全满足指标，响应供应商须进行实质性响应，响应供应商若有一项带“★”的条款未响应或负偏离，将被确定为响应无效。</w:t>
      </w:r>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bookmarkStart w:id="1101" w:name="_Toc482255102"/>
    </w:p>
    <w:bookmarkEnd w:id="1101"/>
    <w:p>
      <w:pPr>
        <w:pStyle w:val="12"/>
      </w:pPr>
      <w:bookmarkStart w:id="1102" w:name="_Toc62199120"/>
      <w:bookmarkStart w:id="1103" w:name="_Toc90148943"/>
      <w:bookmarkStart w:id="1104" w:name="_Toc91288872"/>
      <w:bookmarkStart w:id="1105" w:name="_Toc82872292"/>
      <w:bookmarkStart w:id="1106" w:name="_Toc482255103"/>
      <w:bookmarkStart w:id="1107" w:name="_Toc488303960"/>
      <w:bookmarkStart w:id="1108" w:name="_Toc69744712"/>
      <w:bookmarkStart w:id="1109" w:name="_Toc25520"/>
    </w:p>
    <w:bookmarkEnd w:id="1102"/>
    <w:bookmarkEnd w:id="1103"/>
    <w:bookmarkEnd w:id="1104"/>
    <w:bookmarkEnd w:id="1105"/>
    <w:bookmarkEnd w:id="1106"/>
    <w:bookmarkEnd w:id="1107"/>
    <w:bookmarkEnd w:id="1108"/>
    <w:bookmarkEnd w:id="1109"/>
    <w:p>
      <w:pPr>
        <w:spacing w:line="360" w:lineRule="auto"/>
        <w:outlineLvl w:val="1"/>
        <w:rPr>
          <w:rFonts w:ascii="宋体" w:hAnsi="宋体" w:cs="Tahoma"/>
          <w:b/>
          <w:sz w:val="24"/>
        </w:rPr>
      </w:pPr>
      <w:bookmarkStart w:id="1110" w:name="_Toc149248258"/>
      <w:bookmarkStart w:id="1111" w:name="_Toc106271070"/>
      <w:bookmarkStart w:id="1112" w:name="_Toc91288876"/>
      <w:bookmarkStart w:id="1113" w:name="_Toc90148947"/>
      <w:bookmarkStart w:id="1114" w:name="_Toc482255109"/>
      <w:r>
        <w:rPr>
          <w:rFonts w:ascii="宋体" w:hAnsi="宋体" w:cs="Tahoma"/>
          <w:b/>
          <w:sz w:val="24"/>
        </w:rPr>
        <w:t>附件</w:t>
      </w:r>
      <w:r>
        <w:rPr>
          <w:rFonts w:hint="eastAsia" w:ascii="宋体" w:hAnsi="宋体" w:cs="Tahoma"/>
          <w:b/>
          <w:sz w:val="24"/>
        </w:rPr>
        <w:t>6 交纳服务费承诺书</w:t>
      </w:r>
      <w:bookmarkEnd w:id="1110"/>
      <w:bookmarkEnd w:id="1111"/>
    </w:p>
    <w:p/>
    <w:p>
      <w:pPr>
        <w:spacing w:line="360" w:lineRule="auto"/>
        <w:rPr>
          <w:rFonts w:ascii="宋体"/>
          <w:sz w:val="24"/>
        </w:rPr>
      </w:pPr>
      <w:r>
        <w:rPr>
          <w:rFonts w:hint="eastAsia" w:ascii="宋体"/>
          <w:b/>
          <w:sz w:val="24"/>
        </w:rPr>
        <w:t>致：粤廉（广东）招标代理有限公司</w:t>
      </w:r>
    </w:p>
    <w:p>
      <w:pPr>
        <w:spacing w:line="360" w:lineRule="auto"/>
        <w:ind w:firstLine="480" w:firstLineChars="200"/>
        <w:rPr>
          <w:rFonts w:ascii="宋体"/>
          <w:sz w:val="24"/>
          <w:szCs w:val="24"/>
        </w:rPr>
      </w:pPr>
      <w:r>
        <w:rPr>
          <w:rFonts w:hint="eastAsia" w:ascii="宋体"/>
          <w:sz w:val="24"/>
          <w:szCs w:val="24"/>
        </w:rPr>
        <w:t>如果我方在贵公司组织的</w:t>
      </w:r>
      <w:r>
        <w:rPr>
          <w:rFonts w:hint="eastAsia" w:ascii="宋体" w:hAnsi="宋体" w:cs="Tahoma"/>
          <w:sz w:val="24"/>
        </w:rPr>
        <w:t>2023年广东省（阳江）海上大型综合应急演习组织服务采购项目</w:t>
      </w:r>
      <w:r>
        <w:rPr>
          <w:rFonts w:hint="eastAsia" w:ascii="宋体" w:hAnsi="宋体"/>
          <w:sz w:val="24"/>
        </w:rPr>
        <w:t>（项目编号：</w:t>
      </w:r>
      <w:r>
        <w:rPr>
          <w:rFonts w:hint="eastAsia" w:ascii="宋体" w:cs="Tahoma"/>
          <w:bCs/>
          <w:sz w:val="24"/>
        </w:rPr>
        <w:t>YL202310303</w:t>
      </w:r>
      <w:r>
        <w:rPr>
          <w:rFonts w:hint="eastAsia" w:ascii="宋体" w:hAnsi="宋体"/>
          <w:sz w:val="24"/>
        </w:rPr>
        <w:t>）</w:t>
      </w:r>
      <w:r>
        <w:rPr>
          <w:rFonts w:hint="eastAsia" w:ascii="宋体"/>
          <w:sz w:val="24"/>
          <w:szCs w:val="24"/>
        </w:rPr>
        <w:t>中获成交，我方保证在收到《缴费通知》后</w:t>
      </w:r>
      <w:r>
        <w:rPr>
          <w:rFonts w:hint="eastAsia" w:ascii="宋体"/>
          <w:sz w:val="24"/>
        </w:rPr>
        <w:t>五个工作日内，</w:t>
      </w:r>
      <w:r>
        <w:rPr>
          <w:rFonts w:hint="eastAsia" w:ascii="宋体"/>
          <w:sz w:val="24"/>
          <w:szCs w:val="24"/>
        </w:rPr>
        <w:t>按</w:t>
      </w:r>
      <w:r>
        <w:rPr>
          <w:rFonts w:hint="eastAsia" w:ascii="宋体"/>
          <w:sz w:val="24"/>
        </w:rPr>
        <w:t>照</w:t>
      </w:r>
      <w:r>
        <w:rPr>
          <w:rFonts w:hint="eastAsia" w:ascii="宋体"/>
          <w:sz w:val="24"/>
          <w:szCs w:val="24"/>
        </w:rPr>
        <w:t>磋商文件</w:t>
      </w:r>
      <w:r>
        <w:rPr>
          <w:rFonts w:hint="eastAsia" w:ascii="宋体"/>
          <w:sz w:val="24"/>
        </w:rPr>
        <w:t>的</w:t>
      </w:r>
      <w:r>
        <w:rPr>
          <w:rFonts w:hint="eastAsia" w:ascii="宋体"/>
          <w:sz w:val="24"/>
          <w:szCs w:val="24"/>
        </w:rPr>
        <w:t>规定向贵公司交纳服务费。</w:t>
      </w:r>
    </w:p>
    <w:p>
      <w:pPr>
        <w:spacing w:line="360" w:lineRule="auto"/>
        <w:ind w:firstLine="480" w:firstLineChars="200"/>
        <w:rPr>
          <w:rFonts w:ascii="宋体"/>
          <w:sz w:val="24"/>
          <w:szCs w:val="24"/>
        </w:rPr>
      </w:pPr>
      <w:r>
        <w:rPr>
          <w:rFonts w:hint="eastAsia" w:ascii="宋体"/>
          <w:sz w:val="24"/>
          <w:szCs w:val="24"/>
        </w:rPr>
        <w:t>我方如违约，愿承担相应的法律责任。</w:t>
      </w:r>
    </w:p>
    <w:p>
      <w:pPr>
        <w:spacing w:line="360" w:lineRule="auto"/>
        <w:ind w:firstLine="480" w:firstLineChars="200"/>
        <w:rPr>
          <w:rFonts w:ascii="宋体"/>
          <w:sz w:val="24"/>
          <w:szCs w:val="24"/>
        </w:rPr>
      </w:pPr>
      <w:r>
        <w:rPr>
          <w:rFonts w:hint="eastAsia" w:ascii="宋体"/>
          <w:sz w:val="24"/>
          <w:szCs w:val="24"/>
        </w:rPr>
        <w:t>特此承诺！</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Pr>
        <w:pStyle w:val="21"/>
      </w:pPr>
    </w:p>
    <w:p>
      <w:pPr>
        <w:pStyle w:val="12"/>
      </w:pPr>
    </w:p>
    <w:p/>
    <w:p>
      <w:pPr>
        <w:widowControl/>
        <w:jc w:val="left"/>
        <w:rPr>
          <w:rFonts w:ascii="宋体" w:hAnsi="宋体" w:cs="Tahoma"/>
          <w:b/>
          <w:sz w:val="24"/>
        </w:rPr>
      </w:pPr>
      <w:r>
        <w:rPr>
          <w:rFonts w:ascii="宋体" w:hAnsi="宋体" w:cs="Tahoma"/>
          <w:b/>
          <w:sz w:val="24"/>
        </w:rPr>
        <w:br w:type="page"/>
      </w:r>
    </w:p>
    <w:p>
      <w:pPr>
        <w:spacing w:line="360" w:lineRule="auto"/>
        <w:outlineLvl w:val="1"/>
        <w:rPr>
          <w:sz w:val="28"/>
          <w:szCs w:val="28"/>
        </w:rPr>
      </w:pPr>
      <w:bookmarkStart w:id="1115" w:name="_Toc149248259"/>
      <w:r>
        <w:rPr>
          <w:rFonts w:ascii="宋体" w:hAnsi="宋体" w:cs="Tahoma"/>
          <w:b/>
          <w:sz w:val="24"/>
        </w:rPr>
        <w:t>附件</w:t>
      </w:r>
      <w:r>
        <w:rPr>
          <w:rFonts w:hint="eastAsia" w:ascii="宋体" w:hAnsi="宋体" w:cs="Tahoma"/>
          <w:b/>
          <w:sz w:val="24"/>
        </w:rPr>
        <w:t>7 项目经验一览表</w:t>
      </w:r>
      <w:bookmarkEnd w:id="1112"/>
      <w:bookmarkEnd w:id="1113"/>
      <w:bookmarkEnd w:id="1115"/>
    </w:p>
    <w:p>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7"/>
        <w:tblW w:w="97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21"/>
        <w:gridCol w:w="1417"/>
        <w:gridCol w:w="1351"/>
        <w:gridCol w:w="1501"/>
        <w:gridCol w:w="1418"/>
        <w:gridCol w:w="16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shd w:val="clear" w:color="auto" w:fill="D9D9D9"/>
            <w:vAlign w:val="center"/>
          </w:tcPr>
          <w:p>
            <w:pPr>
              <w:jc w:val="center"/>
              <w:rPr>
                <w:rFonts w:ascii="宋体" w:hAnsi="宋体"/>
                <w:b/>
                <w:sz w:val="24"/>
              </w:rPr>
            </w:pPr>
            <w:r>
              <w:rPr>
                <w:rFonts w:hint="eastAsia" w:ascii="宋体" w:hAnsi="宋体"/>
                <w:b/>
                <w:sz w:val="24"/>
              </w:rPr>
              <w:t>序号</w:t>
            </w:r>
          </w:p>
        </w:tc>
        <w:tc>
          <w:tcPr>
            <w:tcW w:w="1721" w:type="dxa"/>
            <w:shd w:val="clear" w:color="auto" w:fill="D9D9D9"/>
            <w:vAlign w:val="center"/>
          </w:tcPr>
          <w:p>
            <w:pPr>
              <w:jc w:val="center"/>
              <w:rPr>
                <w:rFonts w:ascii="宋体" w:hAnsi="宋体"/>
                <w:b/>
                <w:sz w:val="24"/>
              </w:rPr>
            </w:pPr>
            <w:r>
              <w:rPr>
                <w:rFonts w:hint="eastAsia" w:ascii="宋体" w:hAnsi="宋体"/>
                <w:b/>
                <w:sz w:val="24"/>
              </w:rPr>
              <w:t>项目名称</w:t>
            </w:r>
          </w:p>
        </w:tc>
        <w:tc>
          <w:tcPr>
            <w:tcW w:w="1417" w:type="dxa"/>
            <w:shd w:val="clear" w:color="auto" w:fill="D9D9D9"/>
            <w:vAlign w:val="center"/>
          </w:tcPr>
          <w:p>
            <w:pPr>
              <w:jc w:val="center"/>
              <w:rPr>
                <w:rFonts w:ascii="宋体" w:hAnsi="宋体"/>
                <w:b/>
                <w:sz w:val="24"/>
              </w:rPr>
            </w:pPr>
            <w:r>
              <w:rPr>
                <w:rFonts w:hint="eastAsia" w:ascii="宋体" w:hAnsi="宋体"/>
                <w:b/>
                <w:sz w:val="24"/>
              </w:rPr>
              <w:t>招标单位</w:t>
            </w:r>
          </w:p>
        </w:tc>
        <w:tc>
          <w:tcPr>
            <w:tcW w:w="1351" w:type="dxa"/>
            <w:shd w:val="clear" w:color="auto" w:fill="D9D9D9"/>
            <w:vAlign w:val="center"/>
          </w:tcPr>
          <w:p>
            <w:pPr>
              <w:jc w:val="center"/>
              <w:rPr>
                <w:rFonts w:ascii="宋体" w:hAnsi="宋体"/>
                <w:b/>
                <w:sz w:val="24"/>
              </w:rPr>
            </w:pPr>
            <w:r>
              <w:rPr>
                <w:rFonts w:ascii="宋体" w:hAnsi="宋体"/>
                <w:b/>
                <w:sz w:val="24"/>
              </w:rPr>
              <w:t>合同金额</w:t>
            </w:r>
          </w:p>
        </w:tc>
        <w:tc>
          <w:tcPr>
            <w:tcW w:w="1501" w:type="dxa"/>
            <w:shd w:val="clear" w:color="auto" w:fill="D9D9D9"/>
            <w:vAlign w:val="center"/>
          </w:tcPr>
          <w:p>
            <w:pPr>
              <w:jc w:val="center"/>
              <w:rPr>
                <w:rFonts w:ascii="宋体" w:hAnsi="宋体"/>
                <w:b/>
                <w:sz w:val="24"/>
              </w:rPr>
            </w:pPr>
            <w:r>
              <w:rPr>
                <w:rFonts w:hint="eastAsia" w:ascii="宋体" w:hAnsi="宋体"/>
                <w:b/>
                <w:sz w:val="24"/>
              </w:rPr>
              <w:t>合同签订</w:t>
            </w:r>
          </w:p>
          <w:p>
            <w:pPr>
              <w:jc w:val="center"/>
              <w:rPr>
                <w:rFonts w:ascii="宋体" w:hAnsi="宋体"/>
                <w:b/>
                <w:sz w:val="24"/>
              </w:rPr>
            </w:pPr>
            <w:r>
              <w:rPr>
                <w:rFonts w:hint="eastAsia" w:ascii="宋体" w:hAnsi="宋体"/>
                <w:b/>
                <w:sz w:val="24"/>
              </w:rPr>
              <w:t>时间</w:t>
            </w:r>
          </w:p>
        </w:tc>
        <w:tc>
          <w:tcPr>
            <w:tcW w:w="1418" w:type="dxa"/>
            <w:shd w:val="clear" w:color="auto" w:fill="D9D9D9"/>
            <w:vAlign w:val="center"/>
          </w:tcPr>
          <w:p>
            <w:pPr>
              <w:jc w:val="center"/>
              <w:rPr>
                <w:rFonts w:ascii="宋体" w:hAnsi="宋体"/>
                <w:b/>
                <w:sz w:val="24"/>
              </w:rPr>
            </w:pPr>
            <w:r>
              <w:rPr>
                <w:rFonts w:hint="eastAsia" w:ascii="宋体" w:hAnsi="宋体"/>
                <w:b/>
                <w:sz w:val="24"/>
              </w:rPr>
              <w:t>服务期限</w:t>
            </w:r>
          </w:p>
        </w:tc>
        <w:tc>
          <w:tcPr>
            <w:tcW w:w="1614" w:type="dxa"/>
            <w:shd w:val="clear" w:color="auto" w:fill="D9D9D9"/>
            <w:vAlign w:val="center"/>
          </w:tcPr>
          <w:p>
            <w:pPr>
              <w:jc w:val="center"/>
              <w:rPr>
                <w:rFonts w:ascii="宋体" w:hAnsi="宋体"/>
                <w:b/>
                <w:sz w:val="24"/>
              </w:rPr>
            </w:pPr>
            <w:r>
              <w:rPr>
                <w:rFonts w:hint="eastAsia" w:ascii="宋体" w:hAnsi="宋体"/>
                <w:b/>
                <w:sz w:val="24"/>
              </w:rPr>
              <w:t>业主联系人及联系电话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jc w:val="center"/>
              <w:rPr>
                <w:rFonts w:ascii="宋体" w:hAnsi="宋体"/>
                <w:sz w:val="24"/>
              </w:rPr>
            </w:pPr>
          </w:p>
        </w:tc>
        <w:tc>
          <w:tcPr>
            <w:tcW w:w="1721" w:type="dxa"/>
            <w:vAlign w:val="center"/>
          </w:tcPr>
          <w:p>
            <w:pPr>
              <w:pStyle w:val="9"/>
              <w:jc w:val="center"/>
              <w:rPr>
                <w:rFonts w:ascii="宋体" w:hAnsi="宋体"/>
              </w:rPr>
            </w:pPr>
          </w:p>
        </w:tc>
        <w:tc>
          <w:tcPr>
            <w:tcW w:w="1417" w:type="dxa"/>
            <w:vAlign w:val="center"/>
          </w:tcPr>
          <w:p>
            <w:pPr>
              <w:jc w:val="center"/>
              <w:rPr>
                <w:rFonts w:ascii="宋体" w:hAnsi="宋体"/>
                <w:sz w:val="24"/>
              </w:rPr>
            </w:pPr>
          </w:p>
        </w:tc>
        <w:tc>
          <w:tcPr>
            <w:tcW w:w="1351" w:type="dxa"/>
            <w:vAlign w:val="center"/>
          </w:tcPr>
          <w:p>
            <w:pPr>
              <w:jc w:val="center"/>
              <w:rPr>
                <w:rFonts w:ascii="宋体" w:hAnsi="宋体"/>
                <w:sz w:val="24"/>
              </w:rPr>
            </w:pPr>
          </w:p>
        </w:tc>
        <w:tc>
          <w:tcPr>
            <w:tcW w:w="1501"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6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jc w:val="center"/>
              <w:rPr>
                <w:rFonts w:ascii="宋体" w:hAnsi="宋体"/>
                <w:sz w:val="24"/>
              </w:rPr>
            </w:pPr>
          </w:p>
        </w:tc>
        <w:tc>
          <w:tcPr>
            <w:tcW w:w="1721" w:type="dxa"/>
            <w:vAlign w:val="center"/>
          </w:tcPr>
          <w:p>
            <w:pPr>
              <w:jc w:val="center"/>
              <w:rPr>
                <w:rFonts w:ascii="宋体" w:hAnsi="宋体"/>
                <w:sz w:val="24"/>
              </w:rPr>
            </w:pPr>
          </w:p>
        </w:tc>
        <w:tc>
          <w:tcPr>
            <w:tcW w:w="1417" w:type="dxa"/>
            <w:vAlign w:val="center"/>
          </w:tcPr>
          <w:p>
            <w:pPr>
              <w:jc w:val="center"/>
              <w:rPr>
                <w:rFonts w:ascii="宋体" w:hAnsi="宋体"/>
                <w:sz w:val="24"/>
              </w:rPr>
            </w:pPr>
          </w:p>
        </w:tc>
        <w:tc>
          <w:tcPr>
            <w:tcW w:w="1351" w:type="dxa"/>
            <w:vAlign w:val="center"/>
          </w:tcPr>
          <w:p>
            <w:pPr>
              <w:jc w:val="center"/>
              <w:rPr>
                <w:rFonts w:ascii="宋体" w:hAnsi="宋体"/>
                <w:sz w:val="24"/>
              </w:rPr>
            </w:pPr>
          </w:p>
        </w:tc>
        <w:tc>
          <w:tcPr>
            <w:tcW w:w="1501"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614" w:type="dxa"/>
            <w:vAlign w:val="center"/>
          </w:tcPr>
          <w:p>
            <w:pPr>
              <w:jc w:val="center"/>
              <w:rPr>
                <w:rFonts w:ascii="宋体" w:hAnsi="宋体"/>
                <w:sz w:val="24"/>
              </w:rP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
      <w:pPr>
        <w:widowControl/>
        <w:jc w:val="left"/>
        <w:rPr>
          <w:rFonts w:ascii="宋体" w:hAnsi="宋体" w:cs="Tahoma"/>
          <w:b/>
          <w:sz w:val="24"/>
        </w:rPr>
      </w:pPr>
      <w:bookmarkStart w:id="1116" w:name="_Toc90148948"/>
      <w:bookmarkStart w:id="1117" w:name="_Toc91288877"/>
    </w:p>
    <w:p>
      <w:pPr>
        <w:spacing w:line="360" w:lineRule="auto"/>
        <w:outlineLvl w:val="1"/>
        <w:rPr>
          <w:rFonts w:ascii="宋体" w:hAnsi="宋体" w:cs="Tahoma"/>
          <w:b/>
          <w:sz w:val="24"/>
        </w:rPr>
      </w:pPr>
      <w:bookmarkStart w:id="1118" w:name="_Toc149248260"/>
      <w:r>
        <w:rPr>
          <w:rFonts w:hint="eastAsia" w:ascii="宋体" w:hAnsi="宋体" w:cs="Tahoma"/>
          <w:b/>
          <w:sz w:val="24"/>
        </w:rPr>
        <w:t>附件8 企业证书情况表</w:t>
      </w:r>
      <w:bookmarkEnd w:id="1116"/>
      <w:bookmarkEnd w:id="1117"/>
      <w:bookmarkEnd w:id="1118"/>
    </w:p>
    <w:p>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2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vAlign w:val="center"/>
          </w:tcPr>
          <w:p>
            <w:pPr>
              <w:jc w:val="center"/>
              <w:rPr>
                <w:b/>
                <w:bCs/>
                <w:sz w:val="24"/>
                <w:szCs w:val="24"/>
              </w:rPr>
            </w:pPr>
            <w:r>
              <w:rPr>
                <w:rFonts w:hint="eastAsia"/>
                <w:b/>
                <w:bCs/>
                <w:sz w:val="24"/>
                <w:szCs w:val="24"/>
              </w:rPr>
              <w:t>序号</w:t>
            </w:r>
          </w:p>
        </w:tc>
        <w:tc>
          <w:tcPr>
            <w:tcW w:w="3803" w:type="dxa"/>
            <w:vAlign w:val="center"/>
          </w:tcPr>
          <w:p>
            <w:pPr>
              <w:jc w:val="center"/>
              <w:rPr>
                <w:b/>
                <w:bCs/>
                <w:sz w:val="24"/>
                <w:szCs w:val="24"/>
              </w:rPr>
            </w:pPr>
            <w:r>
              <w:rPr>
                <w:rFonts w:hint="eastAsia"/>
                <w:b/>
                <w:bCs/>
                <w:sz w:val="24"/>
                <w:szCs w:val="24"/>
              </w:rPr>
              <w:t>证书名称</w:t>
            </w:r>
          </w:p>
        </w:tc>
        <w:tc>
          <w:tcPr>
            <w:tcW w:w="2880" w:type="dxa"/>
            <w:vAlign w:val="center"/>
          </w:tcPr>
          <w:p>
            <w:pPr>
              <w:jc w:val="center"/>
              <w:rPr>
                <w:b/>
                <w:bCs/>
                <w:sz w:val="24"/>
                <w:szCs w:val="24"/>
              </w:rPr>
            </w:pPr>
            <w:r>
              <w:rPr>
                <w:rFonts w:hint="eastAsia"/>
                <w:b/>
                <w:bCs/>
                <w:sz w:val="24"/>
                <w:szCs w:val="24"/>
              </w:rPr>
              <w:t>发证单位</w:t>
            </w:r>
          </w:p>
        </w:tc>
        <w:tc>
          <w:tcPr>
            <w:tcW w:w="2182" w:type="dxa"/>
            <w:vAlign w:val="center"/>
          </w:tcPr>
          <w:p>
            <w:pPr>
              <w:jc w:val="center"/>
              <w:rPr>
                <w:b/>
                <w:bCs/>
                <w:sz w:val="24"/>
                <w:szCs w:val="24"/>
              </w:rPr>
            </w:pPr>
            <w:r>
              <w:rPr>
                <w:rFonts w:hint="eastAsia"/>
                <w:b/>
                <w:bCs/>
                <w:sz w:val="24"/>
                <w:szCs w:val="24"/>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 w:val="24"/>
              </w:rPr>
            </w:pPr>
          </w:p>
        </w:tc>
        <w:tc>
          <w:tcPr>
            <w:tcW w:w="2182" w:type="dxa"/>
            <w:vAlign w:val="center"/>
          </w:tcPr>
          <w:p>
            <w:pPr>
              <w:tabs>
                <w:tab w:val="center" w:pos="4153"/>
                <w:tab w:val="right" w:pos="8306"/>
              </w:tabs>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 w:val="24"/>
              </w:rPr>
            </w:pPr>
          </w:p>
        </w:tc>
        <w:tc>
          <w:tcPr>
            <w:tcW w:w="2182" w:type="dxa"/>
            <w:vAlign w:val="center"/>
          </w:tcPr>
          <w:p>
            <w:pPr>
              <w:tabs>
                <w:tab w:val="center" w:pos="4153"/>
                <w:tab w:val="right" w:pos="8306"/>
              </w:tabs>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r>
              <w:rPr>
                <w:rFonts w:hint="eastAsia" w:ascii="宋体" w:hAnsi="宋体"/>
                <w:sz w:val="24"/>
              </w:rPr>
              <w:t>…</w:t>
            </w: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Cs w:val="21"/>
              </w:rPr>
            </w:pPr>
          </w:p>
        </w:tc>
        <w:tc>
          <w:tcPr>
            <w:tcW w:w="2182" w:type="dxa"/>
            <w:vAlign w:val="center"/>
          </w:tcPr>
          <w:p>
            <w:pPr>
              <w:tabs>
                <w:tab w:val="center" w:pos="4153"/>
                <w:tab w:val="right" w:pos="8306"/>
              </w:tabs>
              <w:snapToGrid w:val="0"/>
              <w:jc w:val="center"/>
              <w:rPr>
                <w:rFonts w:ascii="宋体" w:hAnsi="宋体"/>
                <w:szCs w:val="21"/>
              </w:rP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bookmarkEnd w:id="1114"/>
    <w:p>
      <w:pPr>
        <w:spacing w:line="360" w:lineRule="auto"/>
        <w:rPr>
          <w:rFonts w:ascii="宋体" w:hAnsi="宋体" w:cs="Tahoma"/>
          <w:b/>
          <w:sz w:val="24"/>
        </w:rPr>
      </w:pPr>
      <w:bookmarkStart w:id="1119" w:name="_Toc91288878"/>
      <w:bookmarkStart w:id="1120" w:name="_Toc90148949"/>
      <w:bookmarkStart w:id="1121" w:name="_Toc482255113"/>
      <w:bookmarkStart w:id="1122" w:name="_Toc385510956"/>
      <w:bookmarkStart w:id="1123" w:name="_Toc464036500"/>
    </w:p>
    <w:p>
      <w:pPr>
        <w:spacing w:line="360" w:lineRule="auto"/>
        <w:outlineLvl w:val="1"/>
        <w:rPr>
          <w:rFonts w:ascii="宋体" w:hAnsi="宋体" w:cs="Tahoma"/>
          <w:b/>
          <w:sz w:val="24"/>
        </w:rPr>
      </w:pPr>
      <w:bookmarkStart w:id="1124" w:name="_Toc149248261"/>
      <w:r>
        <w:rPr>
          <w:rFonts w:ascii="宋体" w:hAnsi="宋体" w:cs="Tahoma"/>
          <w:b/>
          <w:sz w:val="24"/>
        </w:rPr>
        <w:t>附件</w:t>
      </w:r>
      <w:r>
        <w:rPr>
          <w:rFonts w:hint="eastAsia" w:ascii="宋体" w:hAnsi="宋体" w:cs="Tahoma"/>
          <w:b/>
          <w:sz w:val="24"/>
        </w:rPr>
        <w:t>9 其他评审要求资料</w:t>
      </w:r>
      <w:bookmarkEnd w:id="1119"/>
      <w:bookmarkEnd w:id="1120"/>
      <w:bookmarkEnd w:id="1124"/>
    </w:p>
    <w:p>
      <w:pPr>
        <w:pStyle w:val="3"/>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注：响应供应商根据技术评审表和商务评审表内容提供评审所需资料，格式自拟。</w:t>
      </w:r>
    </w:p>
    <w:bookmarkEnd w:id="1121"/>
    <w:bookmarkEnd w:id="1122"/>
    <w:bookmarkEnd w:id="1123"/>
    <w:p>
      <w:pPr>
        <w:spacing w:line="360" w:lineRule="auto"/>
        <w:outlineLvl w:val="1"/>
        <w:rPr>
          <w:rFonts w:ascii="宋体" w:hAnsi="宋体" w:cs="Tahoma"/>
          <w:b/>
          <w:sz w:val="24"/>
        </w:rPr>
      </w:pPr>
      <w:bookmarkStart w:id="1125" w:name="_Toc413770316"/>
      <w:bookmarkStart w:id="1126" w:name="_Toc373408883"/>
      <w:bookmarkStart w:id="1127" w:name="_Toc90148950"/>
      <w:bookmarkStart w:id="1128" w:name="_Toc381281297"/>
      <w:bookmarkStart w:id="1129" w:name="_Toc462678697"/>
      <w:bookmarkStart w:id="1130" w:name="_Toc482255116"/>
      <w:bookmarkStart w:id="1131" w:name="_Toc149248262"/>
      <w:bookmarkStart w:id="1132" w:name="_Toc91288879"/>
      <w:r>
        <w:rPr>
          <w:rFonts w:hint="eastAsia" w:ascii="宋体" w:hAnsi="宋体" w:cs="Tahoma"/>
          <w:b/>
          <w:sz w:val="24"/>
        </w:rPr>
        <w:t>附件</w:t>
      </w:r>
      <w:bookmarkEnd w:id="1125"/>
      <w:bookmarkEnd w:id="1126"/>
      <w:bookmarkEnd w:id="1127"/>
      <w:bookmarkEnd w:id="1128"/>
      <w:bookmarkEnd w:id="1129"/>
      <w:bookmarkEnd w:id="1130"/>
      <w:r>
        <w:rPr>
          <w:rFonts w:hint="eastAsia" w:ascii="宋体" w:hAnsi="宋体" w:cs="Tahoma"/>
          <w:b/>
          <w:sz w:val="24"/>
        </w:rPr>
        <w:t>10 报价一览表</w:t>
      </w:r>
      <w:bookmarkEnd w:id="1131"/>
      <w:bookmarkEnd w:id="1132"/>
    </w:p>
    <w:p>
      <w:pPr>
        <w:spacing w:line="360" w:lineRule="auto"/>
        <w:rPr>
          <w:rFonts w:ascii="宋体" w:hAnsi="宋体" w:cs="宋体"/>
          <w:sz w:val="24"/>
        </w:rPr>
      </w:pPr>
      <w:r>
        <w:rPr>
          <w:rFonts w:hint="eastAsia" w:ascii="宋体" w:hAnsi="宋体"/>
          <w:sz w:val="24"/>
        </w:rPr>
        <w:t>项目名称：</w:t>
      </w:r>
      <w:r>
        <w:rPr>
          <w:rFonts w:hint="eastAsia" w:ascii="宋体" w:hAnsi="宋体" w:cs="宋体"/>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7"/>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668"/>
        <w:gridCol w:w="33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477" w:type="pct"/>
            <w:vAlign w:val="center"/>
          </w:tcPr>
          <w:p>
            <w:pPr>
              <w:jc w:val="center"/>
              <w:rPr>
                <w:rFonts w:ascii="宋体" w:hAnsi="宋体"/>
                <w:b/>
                <w:sz w:val="24"/>
                <w:szCs w:val="24"/>
              </w:rPr>
            </w:pPr>
            <w:r>
              <w:rPr>
                <w:rFonts w:hint="eastAsia" w:ascii="宋体" w:hAnsi="宋体"/>
                <w:b/>
                <w:sz w:val="24"/>
                <w:szCs w:val="24"/>
              </w:rPr>
              <w:t>响应供应商名称</w:t>
            </w:r>
          </w:p>
        </w:tc>
        <w:tc>
          <w:tcPr>
            <w:tcW w:w="1565" w:type="pct"/>
            <w:vAlign w:val="center"/>
          </w:tcPr>
          <w:p>
            <w:pPr>
              <w:jc w:val="center"/>
              <w:rPr>
                <w:rFonts w:ascii="宋体" w:hAnsi="宋体"/>
                <w:b/>
                <w:sz w:val="24"/>
                <w:szCs w:val="24"/>
              </w:rPr>
            </w:pPr>
            <w:r>
              <w:rPr>
                <w:rFonts w:hint="eastAsia" w:ascii="宋体" w:hAnsi="宋体"/>
                <w:b/>
                <w:sz w:val="24"/>
                <w:szCs w:val="24"/>
              </w:rPr>
              <w:t>初次响应报价（元）</w:t>
            </w:r>
          </w:p>
        </w:tc>
        <w:tc>
          <w:tcPr>
            <w:tcW w:w="1957" w:type="pct"/>
            <w:vAlign w:val="center"/>
          </w:tcPr>
          <w:p>
            <w:pPr>
              <w:jc w:val="center"/>
              <w:rPr>
                <w:rFonts w:ascii="宋体" w:hAnsi="宋体"/>
                <w:b/>
                <w:sz w:val="24"/>
                <w:szCs w:val="24"/>
              </w:rPr>
            </w:pPr>
            <w:r>
              <w:rPr>
                <w:rFonts w:hint="eastAsia" w:ascii="宋体" w:hAnsi="宋体"/>
                <w:b/>
                <w:sz w:val="24"/>
                <w:szCs w:val="24"/>
              </w:rPr>
              <w:t>服务期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477" w:type="pct"/>
            <w:vAlign w:val="center"/>
          </w:tcPr>
          <w:p>
            <w:pPr>
              <w:widowControl/>
              <w:spacing w:line="360" w:lineRule="auto"/>
              <w:jc w:val="center"/>
              <w:rPr>
                <w:rFonts w:ascii="仿宋" w:hAnsi="仿宋" w:eastAsia="仿宋"/>
                <w:bCs/>
                <w:sz w:val="28"/>
                <w:szCs w:val="28"/>
              </w:rPr>
            </w:pPr>
          </w:p>
        </w:tc>
        <w:tc>
          <w:tcPr>
            <w:tcW w:w="1565" w:type="pct"/>
            <w:vAlign w:val="center"/>
          </w:tcPr>
          <w:p>
            <w:pPr>
              <w:jc w:val="center"/>
              <w:rPr>
                <w:rFonts w:ascii="宋体" w:hAnsi="宋体"/>
                <w:b/>
                <w:sz w:val="24"/>
                <w:szCs w:val="24"/>
              </w:rPr>
            </w:pPr>
          </w:p>
        </w:tc>
        <w:tc>
          <w:tcPr>
            <w:tcW w:w="1957" w:type="pct"/>
            <w:vAlign w:val="center"/>
          </w:tcPr>
          <w:p>
            <w:pPr>
              <w:pStyle w:val="7"/>
              <w:snapToGrid w:val="0"/>
              <w:spacing w:line="360" w:lineRule="auto"/>
              <w:ind w:right="25" w:rightChars="12" w:firstLine="0" w:firstLineChars="0"/>
              <w:jc w:val="center"/>
              <w:rPr>
                <w:rFonts w:ascii="宋体" w:eastAsia="宋体" w:cs="Tahoma"/>
                <w:sz w:val="24"/>
              </w:rPr>
            </w:pPr>
            <w:r>
              <w:rPr>
                <w:rFonts w:hint="eastAsia" w:ascii="宋体" w:eastAsia="宋体"/>
                <w:sz w:val="24"/>
              </w:rPr>
              <w:t>自合同签订之日起至本项目演习结束并通过验收为止。</w:t>
            </w:r>
          </w:p>
        </w:tc>
      </w:tr>
    </w:tbl>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
      <w:pPr>
        <w:spacing w:line="360" w:lineRule="auto"/>
        <w:ind w:firstLine="480" w:firstLineChars="200"/>
        <w:rPr>
          <w:rFonts w:ascii="仿宋" w:hAnsi="仿宋" w:eastAsia="仿宋"/>
          <w:sz w:val="24"/>
          <w:szCs w:val="24"/>
        </w:rPr>
      </w:pPr>
      <w:r>
        <w:rPr>
          <w:rFonts w:hint="eastAsia" w:ascii="仿宋" w:hAnsi="仿宋" w:eastAsia="仿宋"/>
          <w:sz w:val="24"/>
          <w:szCs w:val="24"/>
        </w:rPr>
        <w:t>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1.上述日期均以日历日为单位，包括法定节假日。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2.对含糊不清或不确定的报价将视为无效报价。</w:t>
      </w:r>
    </w:p>
    <w:p/>
    <w:p/>
    <w:p/>
    <w:p/>
    <w:p>
      <w:pPr>
        <w:spacing w:line="360" w:lineRule="auto"/>
        <w:outlineLvl w:val="1"/>
        <w:rPr>
          <w:rFonts w:ascii="宋体" w:hAnsi="宋体" w:cs="Tahoma"/>
          <w:b/>
          <w:sz w:val="24"/>
        </w:rPr>
      </w:pPr>
      <w:bookmarkStart w:id="1133" w:name="_Toc90148951"/>
      <w:bookmarkStart w:id="1134" w:name="_Toc462678708"/>
      <w:bookmarkStart w:id="1135" w:name="_Toc497767449"/>
      <w:bookmarkStart w:id="1136" w:name="_Toc91288880"/>
      <w:bookmarkStart w:id="1137" w:name="_Toc149248263"/>
      <w:bookmarkStart w:id="1138" w:name="_Toc482255117"/>
      <w:r>
        <w:rPr>
          <w:rFonts w:hint="eastAsia" w:ascii="宋体" w:hAnsi="宋体" w:cs="Tahoma"/>
          <w:b/>
          <w:sz w:val="24"/>
        </w:rPr>
        <w:t>附件11 详细报价</w:t>
      </w:r>
      <w:bookmarkEnd w:id="1133"/>
      <w:bookmarkEnd w:id="1134"/>
      <w:bookmarkEnd w:id="1135"/>
      <w:bookmarkEnd w:id="1136"/>
      <w:bookmarkEnd w:id="1137"/>
      <w:bookmarkEnd w:id="1138"/>
    </w:p>
    <w:p>
      <w:pPr>
        <w:spacing w:line="360" w:lineRule="auto"/>
        <w:ind w:firstLine="480" w:firstLineChars="200"/>
        <w:rPr>
          <w:rFonts w:ascii="仿宋" w:hAnsi="仿宋" w:eastAsia="仿宋"/>
          <w:sz w:val="24"/>
          <w:szCs w:val="24"/>
        </w:rPr>
      </w:pPr>
      <w:r>
        <w:rPr>
          <w:rFonts w:hint="eastAsia" w:ascii="仿宋" w:hAnsi="仿宋" w:eastAsia="仿宋"/>
          <w:sz w:val="24"/>
          <w:szCs w:val="24"/>
        </w:rPr>
        <w:t>1.响应报价为所投项目的执行响应价，包括响应供应商履行本项目合同（如果成交）所必须的所有成本费用和响应供应商应承担的一切税费。如果响应供应商在成交并签署合同后，在项目实施过程中出现任何遗漏，均视为由成交供应商免费提供，采购人将不再支付任何费用。</w:t>
      </w:r>
    </w:p>
    <w:p>
      <w:pPr>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2.请响应供应商进行详细的报价分析（格式自定）。</w:t>
      </w:r>
    </w:p>
    <w:p>
      <w:pPr>
        <w:pStyle w:val="14"/>
        <w:spacing w:line="360" w:lineRule="auto"/>
        <w:ind w:left="479" w:leftChars="228"/>
        <w:rPr>
          <w:rFonts w:ascii="宋体" w:hAnsi="宋体" w:eastAsia="宋体"/>
          <w:b/>
          <w:bCs/>
          <w:sz w:val="24"/>
          <w:szCs w:val="24"/>
        </w:rPr>
      </w:pPr>
    </w:p>
    <w:p>
      <w:pPr>
        <w:pStyle w:val="14"/>
        <w:spacing w:line="360" w:lineRule="auto"/>
        <w:ind w:left="2" w:leftChars="1" w:firstLine="472" w:firstLineChars="196"/>
        <w:jc w:val="center"/>
        <w:rPr>
          <w:rFonts w:ascii="宋体" w:hAnsi="宋体" w:eastAsia="宋体"/>
          <w:b/>
          <w:bCs/>
          <w:sz w:val="24"/>
          <w:szCs w:val="24"/>
        </w:r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采购代理机构" w:date="2023-10-26T08:57:00Z" w:initials="A">
    <w:p w14:paraId="5D03701F">
      <w:pPr>
        <w:pStyle w:val="4"/>
      </w:pPr>
      <w:r>
        <w:rPr>
          <w:rFonts w:hint="eastAsia"/>
        </w:rPr>
        <w:t>请确认项目名称。</w:t>
      </w:r>
    </w:p>
  </w:comment>
  <w:comment w:id="1" w:author="采购代理机构" w:date="2023-10-27T09:57:00Z" w:initials="A">
    <w:p w14:paraId="767D7A5A">
      <w:pPr>
        <w:pStyle w:val="4"/>
      </w:pPr>
      <w:r>
        <w:rPr>
          <w:rFonts w:hint="eastAsia"/>
        </w:rPr>
        <w:t>请确认预算金额</w:t>
      </w:r>
    </w:p>
  </w:comment>
  <w:comment w:id="2" w:author="采购代理机构" w:date="2023-10-26T09:16:00Z" w:initials="A">
    <w:p w14:paraId="12384509">
      <w:pPr>
        <w:pStyle w:val="4"/>
      </w:pPr>
      <w:r>
        <w:rPr>
          <w:rFonts w:hint="eastAsia"/>
        </w:rPr>
        <w:t>请补充采购人联系人及联系电话。</w:t>
      </w:r>
    </w:p>
  </w:comment>
  <w:comment w:id="3" w:author="采购代理机构" w:date="2023-10-26T09:16:00Z" w:initials="A">
    <w:p w14:paraId="1E1F3B25">
      <w:pPr>
        <w:pStyle w:val="4"/>
      </w:pPr>
      <w:r>
        <w:rPr>
          <w:rFonts w:hint="eastAsia"/>
        </w:rPr>
        <w:t>请核实采购人地址是否有误。</w:t>
      </w:r>
    </w:p>
  </w:comment>
  <w:comment w:id="4" w:author="采购代理机构" w:date="2023-10-26T21:27:00Z" w:initials="A">
    <w:p w14:paraId="1AD46E5D">
      <w:pPr>
        <w:pStyle w:val="4"/>
      </w:pPr>
      <w:r>
        <w:t>需求书</w:t>
      </w:r>
      <w:r>
        <w:rPr>
          <w:rFonts w:hint="eastAsia"/>
        </w:rPr>
        <w:t>，</w:t>
      </w:r>
      <w:r>
        <w:t>请仔细审核</w:t>
      </w:r>
    </w:p>
  </w:comment>
  <w:comment w:id="5" w:author="采购代理机构" w:date="2023-10-26T15:04:00Z" w:initials="A">
    <w:p w14:paraId="6BFC63CB">
      <w:pPr>
        <w:pStyle w:val="4"/>
      </w:pPr>
      <w:r>
        <w:rPr>
          <w:rFonts w:hint="eastAsia"/>
        </w:rPr>
        <w:t>请确认服务期限是否适用。</w:t>
      </w:r>
    </w:p>
  </w:comment>
  <w:comment w:id="6" w:author="采购代理机构" w:date="2023-10-27T09:38:00Z" w:initials="A">
    <w:p w14:paraId="7FF57F96">
      <w:pPr>
        <w:pStyle w:val="4"/>
      </w:pPr>
      <w:r>
        <w:t>请确认</w:t>
      </w:r>
    </w:p>
  </w:comment>
  <w:comment w:id="7" w:author="采购代理机构" w:date="2023-10-27T10:30:00Z" w:initials="A">
    <w:p w14:paraId="323B4E45">
      <w:pPr>
        <w:pStyle w:val="4"/>
      </w:pPr>
      <w:r>
        <w:t>请确认</w:t>
      </w:r>
    </w:p>
  </w:comment>
  <w:comment w:id="8" w:author="采购代理机构" w:date="2023-10-26T21:45:00Z" w:initials="A">
    <w:p w14:paraId="260D2213">
      <w:pPr>
        <w:pStyle w:val="4"/>
      </w:pPr>
      <w:r>
        <w:rPr>
          <w:rFonts w:hint="eastAsia"/>
        </w:rPr>
        <w:t>请确认。</w:t>
      </w:r>
    </w:p>
  </w:comment>
  <w:comment w:id="9" w:author="采购代理机构" w:date="2023-10-26T21:45:00Z" w:initials="A">
    <w:p w14:paraId="030A6B89">
      <w:pPr>
        <w:pStyle w:val="4"/>
      </w:pPr>
      <w:r>
        <w:rPr>
          <w:rFonts w:hint="eastAsia"/>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03701F" w15:done="0"/>
  <w15:commentEx w15:paraId="767D7A5A" w15:done="0"/>
  <w15:commentEx w15:paraId="12384509" w15:done="0"/>
  <w15:commentEx w15:paraId="1E1F3B25" w15:done="0"/>
  <w15:commentEx w15:paraId="1AD46E5D" w15:done="0"/>
  <w15:commentEx w15:paraId="6BFC63CB" w15:done="0"/>
  <w15:commentEx w15:paraId="7FF57F96" w15:done="0"/>
  <w15:commentEx w15:paraId="323B4E45" w15:done="0"/>
  <w15:commentEx w15:paraId="260D2213" w15:done="0"/>
  <w15:commentEx w15:paraId="030A6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 w:name="宋体_x0004_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cs="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tabs>
          <w:tab w:val="left" w:pos="846"/>
        </w:tabs>
        <w:ind w:left="846" w:hanging="420"/>
      </w:pPr>
      <w:rPr>
        <w:rFonts w:hint="eastAsia"/>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1">
    <w:nsid w:val="400C500D"/>
    <w:multiLevelType w:val="multilevel"/>
    <w:tmpl w:val="400C500D"/>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7DA1D3F"/>
    <w:multiLevelType w:val="multilevel"/>
    <w:tmpl w:val="57DA1D3F"/>
    <w:lvl w:ilvl="0" w:tentative="0">
      <w:start w:val="1"/>
      <w:numFmt w:val="chineseCountingThousand"/>
      <w:suff w:val="nothing"/>
      <w:lvlText w:val="%1、"/>
      <w:lvlJc w:val="left"/>
      <w:pPr>
        <w:ind w:left="704" w:hanging="420"/>
      </w:pPr>
      <w:rPr>
        <w:rFonts w:hint="eastAsia"/>
        <w:lang w:val="en-US"/>
      </w:rPr>
    </w:lvl>
    <w:lvl w:ilvl="1" w:tentative="0">
      <w:start w:val="1"/>
      <w:numFmt w:val="chineseCountingThousand"/>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5C562134"/>
    <w:multiLevelType w:val="multilevel"/>
    <w:tmpl w:val="5C56213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采购代理机构">
    <w15:presenceInfo w15:providerId="None" w15:userId="采购代理机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9F31500"/>
    <w:rsid w:val="19F31500"/>
    <w:rsid w:val="1AF57E02"/>
    <w:rsid w:val="239E0EFF"/>
    <w:rsid w:val="4F09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8">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pPr>
  </w:style>
  <w:style w:type="paragraph" w:styleId="4">
    <w:name w:val="annotation text"/>
    <w:basedOn w:val="1"/>
    <w:qFormat/>
    <w:uiPriority w:val="0"/>
    <w:pPr>
      <w:jc w:val="left"/>
    </w:pPr>
    <w:rPr>
      <w:szCs w:val="24"/>
    </w:rPr>
  </w:style>
  <w:style w:type="paragraph" w:styleId="5">
    <w:name w:val="Body Text"/>
    <w:basedOn w:val="1"/>
    <w:next w:val="6"/>
    <w:qFormat/>
    <w:uiPriority w:val="99"/>
    <w:pPr>
      <w:spacing w:line="480" w:lineRule="atLeast"/>
    </w:pPr>
    <w:rPr>
      <w:rFonts w:ascii="楷体_GB2312" w:eastAsia="楷体_GB2312"/>
      <w:b/>
      <w:sz w:val="30"/>
    </w:rPr>
  </w:style>
  <w:style w:type="paragraph" w:styleId="6">
    <w:name w:val="toc 5"/>
    <w:basedOn w:val="1"/>
    <w:next w:val="1"/>
    <w:unhideWhenUsed/>
    <w:qFormat/>
    <w:uiPriority w:val="0"/>
    <w:pPr>
      <w:ind w:left="840"/>
      <w:jc w:val="left"/>
    </w:pPr>
    <w:rPr>
      <w:rFonts w:asciiTheme="minorHAnsi" w:hAnsiTheme="minorHAnsi" w:cstheme="minorHAnsi"/>
      <w:sz w:val="18"/>
      <w:szCs w:val="18"/>
    </w:rPr>
  </w:style>
  <w:style w:type="paragraph" w:styleId="7">
    <w:name w:val="Body Text Indent"/>
    <w:basedOn w:val="1"/>
    <w:qFormat/>
    <w:uiPriority w:val="0"/>
    <w:pPr>
      <w:ind w:firstLine="700" w:firstLineChars="250"/>
    </w:pPr>
    <w:rPr>
      <w:rFonts w:ascii="楷体_GB2312" w:hAnsi="宋体" w:eastAsia="楷体_GB2312"/>
      <w:sz w:val="28"/>
    </w:rPr>
  </w:style>
  <w:style w:type="paragraph" w:styleId="8">
    <w:name w:val="toc 3"/>
    <w:basedOn w:val="1"/>
    <w:next w:val="1"/>
    <w:qFormat/>
    <w:uiPriority w:val="39"/>
    <w:pPr>
      <w:ind w:left="420"/>
      <w:jc w:val="left"/>
    </w:pPr>
    <w:rPr>
      <w:rFonts w:asciiTheme="minorHAnsi" w:hAnsiTheme="minorHAnsi" w:cstheme="minorHAnsi"/>
      <w:i/>
      <w:iCs/>
      <w:sz w:val="20"/>
    </w:rPr>
  </w:style>
  <w:style w:type="paragraph" w:styleId="9">
    <w:name w:val="Date"/>
    <w:basedOn w:val="1"/>
    <w:next w:val="1"/>
    <w:qFormat/>
    <w:uiPriority w:val="0"/>
    <w:pPr>
      <w:autoSpaceDE w:val="0"/>
      <w:autoSpaceDN w:val="0"/>
      <w:adjustRightInd w:val="0"/>
      <w:spacing w:line="312" w:lineRule="atLeast"/>
      <w:textAlignment w:val="baseline"/>
    </w:pPr>
    <w:rPr>
      <w:kern w:val="0"/>
      <w:sz w:val="32"/>
    </w:rPr>
  </w:style>
  <w:style w:type="paragraph" w:styleId="10">
    <w:name w:val="footer"/>
    <w:basedOn w:val="1"/>
    <w:qFormat/>
    <w:uiPriority w:val="99"/>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Theme="minorHAnsi" w:hAnsiTheme="minorHAnsi" w:cstheme="minorHAnsi"/>
      <w:b/>
      <w:bCs/>
      <w:caps/>
      <w:sz w:val="20"/>
    </w:rPr>
  </w:style>
  <w:style w:type="paragraph" w:styleId="12">
    <w:name w:val="Body Text Indent 3"/>
    <w:basedOn w:val="1"/>
    <w:qFormat/>
    <w:uiPriority w:val="0"/>
    <w:pPr>
      <w:spacing w:after="120"/>
      <w:ind w:left="420" w:leftChars="200"/>
    </w:pPr>
    <w:rPr>
      <w:sz w:val="16"/>
      <w:szCs w:val="16"/>
    </w:rPr>
  </w:style>
  <w:style w:type="paragraph" w:styleId="13">
    <w:name w:val="toc 2"/>
    <w:basedOn w:val="1"/>
    <w:next w:val="1"/>
    <w:qFormat/>
    <w:uiPriority w:val="39"/>
    <w:pPr>
      <w:ind w:left="210"/>
      <w:jc w:val="left"/>
    </w:pPr>
    <w:rPr>
      <w:rFonts w:asciiTheme="minorHAnsi" w:hAnsiTheme="minorHAnsi" w:cstheme="minorHAnsi"/>
      <w:smallCaps/>
      <w:sz w:val="20"/>
    </w:rPr>
  </w:style>
  <w:style w:type="paragraph" w:styleId="14">
    <w:name w:val="Body Text 2"/>
    <w:basedOn w:val="1"/>
    <w:qFormat/>
    <w:uiPriority w:val="0"/>
    <w:rPr>
      <w:rFonts w:eastAsia="楷体_GB2312"/>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styleId="19">
    <w:name w:val="Hyperlink"/>
    <w:qFormat/>
    <w:uiPriority w:val="99"/>
    <w:rPr>
      <w:color w:val="0000FF"/>
      <w:u w:val="single"/>
    </w:rPr>
  </w:style>
  <w:style w:type="character" w:styleId="20">
    <w:name w:val="annotation reference"/>
    <w:qFormat/>
    <w:uiPriority w:val="99"/>
    <w:rPr>
      <w:sz w:val="21"/>
      <w:szCs w:val="21"/>
    </w:rPr>
  </w:style>
  <w:style w:type="paragraph" w:customStyle="1" w:styleId="21">
    <w:name w:val="_Style 3"/>
    <w:next w:val="12"/>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表"/>
    <w:basedOn w:val="1"/>
    <w:qFormat/>
    <w:uiPriority w:val="0"/>
    <w:pPr>
      <w:spacing w:line="360" w:lineRule="auto"/>
    </w:pPr>
    <w:rPr>
      <w:rFonts w:ascii="宋体" w:hAnsi="宋体"/>
      <w:b/>
      <w:bCs/>
    </w:rPr>
  </w:style>
  <w:style w:type="paragraph" w:styleId="23">
    <w:name w:val="List Paragraph"/>
    <w:basedOn w:val="1"/>
    <w:qFormat/>
    <w:uiPriority w:val="34"/>
    <w:pPr>
      <w:ind w:firstLine="420" w:firstLineChars="200"/>
    </w:pPr>
    <w:rPr>
      <w:szCs w:val="24"/>
    </w:rPr>
  </w:style>
  <w:style w:type="paragraph" w:customStyle="1" w:styleId="2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5">
    <w:name w:val="样式 小四 段前: 5 磅 段后: 5 磅 首行缩进:  2 字符"/>
    <w:basedOn w:val="1"/>
    <w:qFormat/>
    <w:uiPriority w:val="0"/>
    <w:pPr>
      <w:spacing w:line="360" w:lineRule="auto"/>
    </w:pPr>
    <w:rPr>
      <w:rFonts w:ascii="宋体"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2023-11-04T12:52:00Z</dcterms:created>
  <dc:creator>jing</dc:creator>
  <cp:lastModifiedBy>jing</cp:lastModifiedBy>
  <dcterms:modified xsi:type="dcterms:W3CDTF">2023-11-04T13:21:46Z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355E253C19574012842BEDFCDF382F44_11</vt:lpwstr>
  </property>
</Properties>
</file>