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720" w:lineRule="auto"/>
        <w:jc w:val="center"/>
        <w:rPr>
          <w:rFonts w:hint="eastAsia" w:ascii="方正小标宋_GBK" w:hAnsi="方正小标宋_GBK" w:eastAsia="方正小标宋_GBK" w:cs="方正小标宋_GBK"/>
          <w:b w:val="0"/>
          <w:bCs w:val="0"/>
          <w:sz w:val="52"/>
          <w:szCs w:val="52"/>
        </w:rPr>
      </w:pPr>
      <w:bookmarkStart w:id="227" w:name="_GoBack"/>
      <w:r>
        <w:rPr>
          <w:rFonts w:hint="eastAsia" w:ascii="方正小标宋_GBK" w:hAnsi="方正小标宋_GBK" w:eastAsia="方正小标宋_GBK" w:cs="方正小标宋_GBK"/>
          <w:b w:val="0"/>
          <w:bCs w:val="0"/>
          <w:sz w:val="52"/>
          <w:szCs w:val="52"/>
        </w:rPr>
        <w:t>2023年广东省（阳江）海上大型</w:t>
      </w:r>
    </w:p>
    <w:p>
      <w:pPr>
        <w:spacing w:line="720" w:lineRule="auto"/>
        <w:jc w:val="center"/>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z w:val="52"/>
          <w:szCs w:val="52"/>
        </w:rPr>
        <w:t>综合应急演习组织服务采购项目</w:t>
      </w:r>
      <w:bookmarkEnd w:id="227"/>
    </w:p>
    <w:p>
      <w:pPr>
        <w:pStyle w:val="2"/>
      </w:pPr>
    </w:p>
    <w:p>
      <w:pPr>
        <w:pStyle w:val="2"/>
      </w:pPr>
    </w:p>
    <w:p>
      <w:pPr>
        <w:spacing w:line="720" w:lineRule="auto"/>
        <w:jc w:val="center"/>
        <w:rPr>
          <w:rFonts w:ascii="宋体" w:hAnsi="宋体"/>
          <w:b/>
          <w:bCs/>
          <w:sz w:val="48"/>
          <w:szCs w:val="48"/>
        </w:rPr>
      </w:pPr>
    </w:p>
    <w:p>
      <w:pPr>
        <w:spacing w:line="720" w:lineRule="auto"/>
        <w:jc w:val="center"/>
        <w:rPr>
          <w:rFonts w:ascii="宋体" w:hAnsi="宋体"/>
          <w:b/>
          <w:bCs/>
          <w:sz w:val="48"/>
          <w:szCs w:val="48"/>
        </w:rPr>
      </w:pPr>
    </w:p>
    <w:p>
      <w:pPr>
        <w:spacing w:line="720" w:lineRule="auto"/>
        <w:jc w:val="center"/>
        <w:rPr>
          <w:rFonts w:hint="eastAsia" w:ascii="方正小标宋_GBK" w:hAnsi="方正小标宋_GBK" w:eastAsia="方正小标宋_GBK" w:cs="方正小标宋_GBK"/>
          <w:b w:val="0"/>
          <w:bCs w:val="0"/>
          <w:sz w:val="48"/>
          <w:szCs w:val="48"/>
        </w:rPr>
      </w:pPr>
      <w:r>
        <w:rPr>
          <w:rFonts w:hint="eastAsia" w:ascii="方正小标宋_GBK" w:hAnsi="方正小标宋_GBK" w:eastAsia="方正小标宋_GBK" w:cs="方正小标宋_GBK"/>
          <w:b w:val="0"/>
          <w:bCs w:val="0"/>
          <w:sz w:val="48"/>
          <w:szCs w:val="48"/>
        </w:rPr>
        <w:t>合同书</w:t>
      </w:r>
    </w:p>
    <w:p>
      <w:pPr>
        <w:pStyle w:val="2"/>
      </w:pPr>
    </w:p>
    <w:p>
      <w:pPr>
        <w:widowControl/>
        <w:spacing w:line="360" w:lineRule="auto"/>
        <w:rPr>
          <w:rFonts w:ascii="宋体" w:hAnsi="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1276" w:firstLineChars="454"/>
        <w:jc w:val="left"/>
        <w:rPr>
          <w:rFonts w:ascii="宋体" w:hAnsi="宋体" w:cs="宋体"/>
          <w:b/>
          <w:bCs/>
          <w:sz w:val="28"/>
          <w:szCs w:val="28"/>
        </w:rPr>
      </w:pPr>
      <w:r>
        <w:rPr>
          <w:rFonts w:hint="eastAsia" w:ascii="宋体" w:hAnsi="宋体" w:cs="宋体"/>
          <w:b/>
          <w:bCs/>
          <w:sz w:val="28"/>
          <w:szCs w:val="28"/>
        </w:rPr>
        <w:t>甲方：</w:t>
      </w:r>
      <w:r>
        <w:rPr>
          <w:rFonts w:hint="eastAsia" w:ascii="宋体" w:hAnsi="宋体" w:cs="宋体"/>
          <w:b/>
          <w:bCs/>
          <w:sz w:val="28"/>
          <w:szCs w:val="28"/>
          <w:u w:val="single"/>
        </w:rPr>
        <w:t>广东省应急管理厅</w:t>
      </w:r>
      <w:r>
        <w:rPr>
          <w:rFonts w:hint="eastAsia" w:ascii="宋体" w:hAnsi="宋体" w:cs="宋体"/>
          <w:b/>
          <w:bCs/>
          <w:sz w:val="28"/>
          <w:szCs w:val="28"/>
        </w:rPr>
        <w:t>（以下简称甲方）</w:t>
      </w:r>
    </w:p>
    <w:p>
      <w:pPr>
        <w:spacing w:line="360" w:lineRule="auto"/>
        <w:ind w:firstLine="1276" w:firstLineChars="454"/>
        <w:jc w:val="left"/>
        <w:rPr>
          <w:rFonts w:ascii="宋体" w:hAnsi="宋体" w:cs="宋体"/>
          <w:b/>
          <w:bCs/>
          <w:sz w:val="28"/>
          <w:szCs w:val="28"/>
        </w:rPr>
      </w:pPr>
      <w:r>
        <w:rPr>
          <w:rFonts w:hint="eastAsia" w:ascii="宋体" w:hAnsi="宋体" w:cs="宋体"/>
          <w:b/>
          <w:bCs/>
          <w:sz w:val="28"/>
          <w:szCs w:val="28"/>
        </w:rPr>
        <w:t>乙方：</w:t>
      </w:r>
      <w:r>
        <w:rPr>
          <w:rFonts w:hint="eastAsia" w:ascii="宋体" w:hAnsi="宋体" w:cs="宋体"/>
          <w:b/>
          <w:bCs/>
          <w:sz w:val="28"/>
          <w:szCs w:val="28"/>
          <w:u w:val="single"/>
        </w:rPr>
        <w:t>广东信通通信有限公司（</w:t>
      </w:r>
      <w:r>
        <w:rPr>
          <w:rFonts w:hint="eastAsia" w:ascii="宋体" w:hAnsi="宋体" w:cs="宋体"/>
          <w:b/>
          <w:bCs/>
          <w:sz w:val="28"/>
          <w:szCs w:val="28"/>
        </w:rPr>
        <w:t>以下简称乙方）</w:t>
      </w:r>
    </w:p>
    <w:p>
      <w:pPr>
        <w:spacing w:line="360" w:lineRule="auto"/>
        <w:ind w:firstLine="1276" w:firstLineChars="454"/>
        <w:jc w:val="left"/>
        <w:rPr>
          <w:rFonts w:ascii="宋体" w:hAnsi="宋体" w:cs="宋体"/>
          <w:b/>
          <w:bCs/>
          <w:sz w:val="28"/>
          <w:szCs w:val="28"/>
        </w:rPr>
      </w:pPr>
      <w:r>
        <w:rPr>
          <w:rFonts w:hint="eastAsia" w:ascii="宋体" w:hAnsi="宋体" w:cs="宋体"/>
          <w:b/>
          <w:bCs/>
          <w:sz w:val="28"/>
          <w:szCs w:val="28"/>
        </w:rPr>
        <w:t>签约地点：广州</w:t>
      </w:r>
    </w:p>
    <w:p>
      <w:pPr>
        <w:spacing w:line="360" w:lineRule="auto"/>
        <w:ind w:firstLine="1276" w:firstLineChars="454"/>
        <w:jc w:val="left"/>
        <w:rPr>
          <w:rFonts w:ascii="宋体" w:hAnsi="宋体" w:cs="宋体"/>
          <w:b/>
          <w:bCs/>
          <w:sz w:val="28"/>
          <w:szCs w:val="28"/>
        </w:rPr>
      </w:pPr>
      <w:r>
        <w:rPr>
          <w:rFonts w:hint="eastAsia" w:ascii="宋体" w:hAnsi="宋体" w:cs="宋体"/>
          <w:b/>
          <w:bCs/>
          <w:sz w:val="28"/>
          <w:szCs w:val="28"/>
        </w:rPr>
        <w:t xml:space="preserve">签订日期： </w:t>
      </w:r>
      <w:r>
        <w:rPr>
          <w:rFonts w:ascii="宋体" w:hAnsi="宋体" w:cs="宋体"/>
          <w:b/>
          <w:bCs/>
          <w:sz w:val="28"/>
          <w:szCs w:val="28"/>
        </w:rPr>
        <w:t xml:space="preserve">  </w:t>
      </w:r>
      <w:r>
        <w:rPr>
          <w:rFonts w:hint="eastAsia" w:ascii="宋体" w:hAnsi="宋体" w:cs="宋体"/>
          <w:b/>
          <w:bCs/>
          <w:sz w:val="28"/>
          <w:szCs w:val="28"/>
        </w:rPr>
        <w:t xml:space="preserve">年 </w:t>
      </w:r>
      <w:r>
        <w:rPr>
          <w:rFonts w:ascii="宋体" w:hAnsi="宋体" w:cs="宋体"/>
          <w:b/>
          <w:bCs/>
          <w:sz w:val="28"/>
          <w:szCs w:val="28"/>
        </w:rPr>
        <w:t xml:space="preserve">  </w:t>
      </w:r>
      <w:r>
        <w:rPr>
          <w:rFonts w:hint="eastAsia" w:ascii="宋体" w:hAnsi="宋体" w:cs="宋体"/>
          <w:b/>
          <w:bCs/>
          <w:sz w:val="28"/>
          <w:szCs w:val="28"/>
        </w:rPr>
        <w:t xml:space="preserve">月 </w:t>
      </w:r>
      <w:r>
        <w:rPr>
          <w:rFonts w:ascii="宋体" w:hAnsi="宋体" w:cs="宋体"/>
          <w:b/>
          <w:bCs/>
          <w:sz w:val="28"/>
          <w:szCs w:val="28"/>
        </w:rPr>
        <w:t xml:space="preserve">  </w:t>
      </w:r>
      <w:r>
        <w:rPr>
          <w:rFonts w:hint="eastAsia" w:ascii="宋体" w:hAnsi="宋体" w:cs="宋体"/>
          <w:b/>
          <w:bCs/>
          <w:sz w:val="28"/>
          <w:szCs w:val="28"/>
        </w:rPr>
        <w:t>日</w:t>
      </w:r>
    </w:p>
    <w:p>
      <w:pPr>
        <w:pStyle w:val="2"/>
      </w:pPr>
    </w:p>
    <w:p>
      <w:pPr>
        <w:spacing w:line="360" w:lineRule="auto"/>
        <w:rPr>
          <w:rFonts w:ascii="宋体" w:hAnsi="宋体" w:cs="宋体"/>
          <w:sz w:val="24"/>
          <w:szCs w:val="24"/>
        </w:rPr>
      </w:pPr>
      <w:bookmarkStart w:id="0" w:name="_Toc496045536"/>
      <w:bookmarkStart w:id="1" w:name="_Toc496096030"/>
      <w:bookmarkStart w:id="2" w:name="_Toc496123824"/>
      <w:r>
        <w:rPr>
          <w:rFonts w:hint="eastAsia" w:ascii="宋体" w:hAnsi="宋体" w:cs="宋体"/>
          <w:sz w:val="24"/>
          <w:szCs w:val="24"/>
        </w:rPr>
        <w:t>甲方：广东省应急管理厅</w:t>
      </w:r>
    </w:p>
    <w:p>
      <w:pPr>
        <w:spacing w:line="360" w:lineRule="auto"/>
        <w:rPr>
          <w:rFonts w:ascii="宋体" w:hAnsi="宋体" w:cs="宋体"/>
          <w:sz w:val="24"/>
          <w:szCs w:val="24"/>
        </w:rPr>
      </w:pPr>
      <w:r>
        <w:rPr>
          <w:rFonts w:hint="eastAsia" w:ascii="宋体" w:hAnsi="宋体" w:cs="宋体"/>
          <w:sz w:val="24"/>
          <w:szCs w:val="24"/>
        </w:rPr>
        <w:t>电话：</w:t>
      </w:r>
      <w:r>
        <w:rPr>
          <w:rFonts w:ascii="宋体" w:hAnsi="宋体" w:cs="宋体"/>
          <w:sz w:val="24"/>
          <w:szCs w:val="24"/>
        </w:rPr>
        <w:t xml:space="preserve">020-83139356   </w:t>
      </w:r>
      <w:r>
        <w:rPr>
          <w:rFonts w:hint="eastAsia" w:ascii="宋体" w:hAnsi="宋体" w:cs="宋体"/>
          <w:sz w:val="24"/>
          <w:szCs w:val="24"/>
        </w:rPr>
        <w:t>传真：</w:t>
      </w:r>
      <w:r>
        <w:rPr>
          <w:rFonts w:ascii="宋体" w:hAnsi="宋体" w:cs="宋体"/>
          <w:sz w:val="24"/>
          <w:szCs w:val="24"/>
        </w:rPr>
        <w:t xml:space="preserve">020-83137111   </w:t>
      </w:r>
    </w:p>
    <w:p>
      <w:pPr>
        <w:spacing w:line="360" w:lineRule="auto"/>
        <w:rPr>
          <w:rFonts w:ascii="宋体" w:hAnsi="宋体" w:cs="宋体"/>
          <w:sz w:val="24"/>
          <w:szCs w:val="24"/>
        </w:rPr>
      </w:pPr>
      <w:r>
        <w:rPr>
          <w:rFonts w:hint="eastAsia" w:ascii="宋体" w:hAnsi="宋体" w:cs="宋体"/>
          <w:sz w:val="24"/>
          <w:szCs w:val="24"/>
        </w:rPr>
        <w:t>地址：广州市越秀区建设大马路</w:t>
      </w:r>
      <w:r>
        <w:rPr>
          <w:rFonts w:ascii="宋体" w:hAnsi="宋体" w:cs="宋体"/>
          <w:sz w:val="24"/>
          <w:szCs w:val="24"/>
        </w:rPr>
        <w:t>19</w:t>
      </w:r>
      <w:r>
        <w:rPr>
          <w:rFonts w:hint="eastAsia" w:ascii="宋体" w:hAnsi="宋体" w:cs="宋体"/>
          <w:sz w:val="24"/>
          <w:szCs w:val="24"/>
        </w:rPr>
        <w:t>号</w:t>
      </w:r>
    </w:p>
    <w:p>
      <w:pPr>
        <w:spacing w:line="360" w:lineRule="auto"/>
        <w:rPr>
          <w:rFonts w:ascii="宋体" w:hAnsi="宋体" w:cs="宋体"/>
          <w:sz w:val="24"/>
          <w:szCs w:val="24"/>
        </w:rPr>
      </w:pPr>
      <w:r>
        <w:rPr>
          <w:rFonts w:hint="eastAsia" w:ascii="宋体" w:hAnsi="宋体" w:cs="宋体"/>
          <w:sz w:val="24"/>
          <w:szCs w:val="24"/>
        </w:rPr>
        <w:t>乙方：广东信通通信有限公司</w:t>
      </w:r>
    </w:p>
    <w:p>
      <w:pPr>
        <w:spacing w:line="360" w:lineRule="auto"/>
        <w:rPr>
          <w:rFonts w:ascii="宋体" w:hAnsi="宋体" w:cs="宋体"/>
          <w:sz w:val="24"/>
          <w:szCs w:val="24"/>
        </w:rPr>
      </w:pPr>
      <w:r>
        <w:rPr>
          <w:rFonts w:hint="eastAsia" w:ascii="宋体" w:hAnsi="宋体" w:cs="宋体"/>
          <w:sz w:val="24"/>
          <w:szCs w:val="24"/>
        </w:rPr>
        <w:t>电话：</w:t>
      </w:r>
      <w:r>
        <w:rPr>
          <w:rFonts w:ascii="宋体" w:hAnsi="宋体" w:cs="宋体"/>
          <w:sz w:val="24"/>
          <w:szCs w:val="24"/>
        </w:rPr>
        <w:t xml:space="preserve">0760-86188618    </w:t>
      </w:r>
      <w:r>
        <w:rPr>
          <w:rFonts w:hint="eastAsia" w:ascii="宋体" w:hAnsi="宋体" w:cs="宋体"/>
          <w:sz w:val="24"/>
          <w:szCs w:val="24"/>
        </w:rPr>
        <w:t>传真：/</w:t>
      </w:r>
      <w:r>
        <w:rPr>
          <w:rFonts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地址：中山市五桂山商业街78号</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r>
        <w:rPr>
          <w:rFonts w:hint="eastAsia" w:ascii="宋体" w:hAnsi="宋体" w:cs="宋体"/>
          <w:sz w:val="24"/>
          <w:szCs w:val="24"/>
        </w:rPr>
        <w:t>根据《中华人民共和国民法典》及</w:t>
      </w:r>
      <w:r>
        <w:rPr>
          <w:rFonts w:hint="eastAsia" w:ascii="宋体" w:hAnsi="宋体" w:cs="宋体"/>
          <w:sz w:val="24"/>
          <w:szCs w:val="24"/>
          <w:u w:val="single"/>
        </w:rPr>
        <w:t xml:space="preserve">2023年广东省（阳江）海上大型综合应急演习组织服务采购项目 </w:t>
      </w:r>
      <w:r>
        <w:rPr>
          <w:rFonts w:hint="eastAsia" w:ascii="宋体" w:hAnsi="宋体" w:cs="宋体"/>
          <w:sz w:val="24"/>
          <w:szCs w:val="24"/>
        </w:rPr>
        <w:t>磋商文件和响应文件（项目编号：</w:t>
      </w:r>
      <w:r>
        <w:rPr>
          <w:rFonts w:hint="eastAsia" w:ascii="宋体" w:hAnsi="宋体" w:cs="宋体"/>
          <w:bCs/>
          <w:sz w:val="24"/>
          <w:szCs w:val="24"/>
        </w:rPr>
        <w:t>YL202310303</w:t>
      </w:r>
      <w:r>
        <w:rPr>
          <w:rFonts w:hint="eastAsia" w:ascii="宋体" w:hAnsi="宋体" w:cs="宋体"/>
          <w:sz w:val="24"/>
          <w:szCs w:val="24"/>
        </w:rPr>
        <w:t>）的要求，经双方协商一致，签订本合同。</w:t>
      </w:r>
    </w:p>
    <w:bookmarkEnd w:id="0"/>
    <w:bookmarkEnd w:id="1"/>
    <w:bookmarkEnd w:id="2"/>
    <w:p>
      <w:pPr>
        <w:spacing w:line="360" w:lineRule="auto"/>
        <w:outlineLvl w:val="1"/>
        <w:rPr>
          <w:rFonts w:ascii="宋体" w:hAnsi="宋体" w:cs="Tahoma"/>
          <w:b/>
          <w:sz w:val="24"/>
          <w:szCs w:val="24"/>
        </w:rPr>
      </w:pPr>
      <w:bookmarkStart w:id="3" w:name="_Toc149248226"/>
      <w:bookmarkStart w:id="4" w:name="_Toc10533"/>
      <w:bookmarkStart w:id="5" w:name="_Toc499278259"/>
      <w:bookmarkStart w:id="6" w:name="_Toc504062525"/>
      <w:bookmarkStart w:id="7" w:name="_Toc82445252"/>
      <w:bookmarkStart w:id="8" w:name="_Toc515956927"/>
      <w:bookmarkStart w:id="9" w:name="_Toc69828221"/>
      <w:bookmarkStart w:id="10" w:name="_Toc24471627"/>
      <w:bookmarkStart w:id="11" w:name="_Toc498265680"/>
      <w:bookmarkStart w:id="12" w:name="_Toc1337"/>
      <w:bookmarkStart w:id="13" w:name="_Toc91288817"/>
      <w:bookmarkStart w:id="14" w:name="_Toc77781862"/>
      <w:bookmarkStart w:id="15" w:name="_Toc78444605"/>
      <w:bookmarkStart w:id="16" w:name="_Toc514163563"/>
      <w:bookmarkStart w:id="17" w:name="_Toc66020762"/>
      <w:bookmarkStart w:id="18" w:name="_Toc515971196"/>
      <w:bookmarkStart w:id="19" w:name="_Toc75028773"/>
      <w:bookmarkStart w:id="20" w:name="_Toc503169247"/>
      <w:bookmarkStart w:id="21" w:name="_Toc51249789"/>
      <w:bookmarkStart w:id="22" w:name="_Toc82692184"/>
      <w:bookmarkStart w:id="23" w:name="_Toc513652311"/>
      <w:bookmarkStart w:id="24" w:name="_Toc515957279"/>
      <w:bookmarkStart w:id="25" w:name="_Toc11921998"/>
      <w:bookmarkStart w:id="26" w:name="_Toc51681501"/>
      <w:bookmarkStart w:id="27" w:name="_Toc498978635"/>
      <w:bookmarkStart w:id="28" w:name="_Toc504122261"/>
      <w:bookmarkStart w:id="29" w:name="_Toc504741257"/>
      <w:bookmarkStart w:id="30" w:name="_Toc18516"/>
      <w:bookmarkStart w:id="31" w:name="_Toc80869734"/>
      <w:bookmarkStart w:id="32" w:name="_Toc498079525"/>
      <w:bookmarkStart w:id="33" w:name="_Toc78274961"/>
      <w:bookmarkStart w:id="34" w:name="_Toc71878594"/>
      <w:bookmarkStart w:id="35" w:name="_Toc90148911"/>
      <w:bookmarkStart w:id="36" w:name="_Toc71878595"/>
      <w:bookmarkStart w:id="37" w:name="_Toc504741258"/>
      <w:bookmarkStart w:id="38" w:name="_Toc24471628"/>
      <w:bookmarkStart w:id="39" w:name="_Toc69828222"/>
      <w:bookmarkStart w:id="40" w:name="_Toc513652312"/>
      <w:bookmarkStart w:id="41" w:name="_Toc80869735"/>
      <w:bookmarkStart w:id="42" w:name="_Toc78274962"/>
      <w:bookmarkStart w:id="43" w:name="_Toc13336"/>
      <w:bookmarkStart w:id="44" w:name="_Toc78444606"/>
      <w:bookmarkStart w:id="45" w:name="_Toc77781863"/>
      <w:bookmarkStart w:id="46" w:name="_Toc75028774"/>
      <w:bookmarkStart w:id="47" w:name="_Toc90148912"/>
      <w:bookmarkStart w:id="48" w:name="_Toc503169248"/>
      <w:bookmarkStart w:id="49" w:name="_Toc498079526"/>
      <w:bookmarkStart w:id="50" w:name="_Toc82445253"/>
      <w:bookmarkStart w:id="51" w:name="_Toc515956928"/>
      <w:bookmarkStart w:id="52" w:name="_Toc51681502"/>
      <w:bookmarkStart w:id="53" w:name="_Toc515971197"/>
      <w:bookmarkStart w:id="54" w:name="_Toc66020763"/>
      <w:bookmarkStart w:id="55" w:name="_Toc504062526"/>
      <w:bookmarkStart w:id="56" w:name="_Toc51249790"/>
      <w:bookmarkStart w:id="57" w:name="_Toc514163564"/>
      <w:bookmarkStart w:id="58" w:name="_Toc498265681"/>
      <w:bookmarkStart w:id="59" w:name="_Toc504122262"/>
      <w:bookmarkStart w:id="60" w:name="_Toc91288818"/>
      <w:bookmarkStart w:id="61" w:name="_Toc24439"/>
      <w:bookmarkStart w:id="62" w:name="_Toc515957280"/>
      <w:bookmarkStart w:id="63" w:name="_Toc499278260"/>
      <w:bookmarkStart w:id="64" w:name="_Toc82692185"/>
      <w:bookmarkStart w:id="65" w:name="_Toc498978636"/>
      <w:bookmarkStart w:id="66" w:name="_Toc11921999"/>
      <w:bookmarkStart w:id="67" w:name="_Toc30672"/>
      <w:r>
        <w:rPr>
          <w:rFonts w:hint="eastAsia" w:ascii="宋体" w:hAnsi="宋体" w:cs="Tahoma"/>
          <w:b/>
          <w:sz w:val="24"/>
          <w:szCs w:val="24"/>
        </w:rPr>
        <w:t>第一条  合同的组成</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ind w:firstLine="480" w:firstLineChars="200"/>
        <w:rPr>
          <w:rFonts w:ascii="宋体" w:hAnsi="宋体" w:cs="宋体"/>
          <w:sz w:val="24"/>
          <w:szCs w:val="24"/>
        </w:rPr>
      </w:pPr>
      <w:r>
        <w:rPr>
          <w:rFonts w:hint="eastAsia" w:ascii="宋体" w:hAnsi="宋体" w:cs="宋体"/>
          <w:sz w:val="24"/>
          <w:szCs w:val="24"/>
        </w:rPr>
        <w:t>详细价格、服务说明及其它有关合同的特定信息由合同附件说明。所有附件及本项目的磋商文件、响应文件、会议纪要、协议等均为本合同不可分割之一部分。</w:t>
      </w:r>
    </w:p>
    <w:p>
      <w:pPr>
        <w:spacing w:line="360" w:lineRule="auto"/>
        <w:outlineLvl w:val="1"/>
        <w:rPr>
          <w:rFonts w:ascii="宋体" w:hAnsi="宋体" w:cs="Tahoma"/>
          <w:b/>
          <w:sz w:val="24"/>
          <w:szCs w:val="24"/>
        </w:rPr>
      </w:pPr>
      <w:bookmarkStart w:id="68" w:name="_Toc149248227"/>
      <w:r>
        <w:rPr>
          <w:rFonts w:hint="eastAsia" w:ascii="宋体" w:hAnsi="宋体" w:cs="Tahoma"/>
          <w:b/>
          <w:sz w:val="24"/>
          <w:szCs w:val="24"/>
        </w:rPr>
        <w:t>第二条  合同金额</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4" w:firstLineChars="177"/>
        <w:rPr>
          <w:rFonts w:ascii="宋体" w:hAnsi="宋体" w:cs="宋体"/>
          <w:sz w:val="24"/>
          <w:szCs w:val="24"/>
        </w:rPr>
      </w:pPr>
      <w:r>
        <w:rPr>
          <w:rFonts w:hint="eastAsia" w:ascii="宋体" w:hAnsi="宋体" w:cs="宋体"/>
          <w:sz w:val="24"/>
          <w:szCs w:val="24"/>
        </w:rPr>
        <w:t>合同金额为（大写）：人民币</w:t>
      </w:r>
      <w:r>
        <w:rPr>
          <w:rFonts w:hint="eastAsia" w:ascii="宋体" w:hAnsi="宋体" w:cs="宋体"/>
          <w:b/>
          <w:bCs/>
          <w:sz w:val="24"/>
          <w:szCs w:val="24"/>
          <w:u w:val="single"/>
        </w:rPr>
        <w:t>捌拾伍万伍仟元整</w:t>
      </w:r>
      <w:r>
        <w:rPr>
          <w:rFonts w:hint="eastAsia" w:ascii="宋体" w:hAnsi="宋体" w:cs="宋体"/>
          <w:sz w:val="24"/>
          <w:szCs w:val="24"/>
        </w:rPr>
        <w:t>（</w:t>
      </w:r>
      <w:r>
        <w:rPr>
          <w:rFonts w:ascii="宋体" w:hAnsi="宋体" w:cs="Calibri"/>
          <w:b/>
          <w:bCs/>
          <w:sz w:val="24"/>
          <w:szCs w:val="24"/>
          <w:u w:val="single"/>
        </w:rPr>
        <w:t>¥</w:t>
      </w:r>
      <w:r>
        <w:rPr>
          <w:rFonts w:ascii="宋体" w:hAnsi="宋体" w:cs="宋体"/>
          <w:b/>
          <w:bCs/>
          <w:sz w:val="24"/>
          <w:szCs w:val="24"/>
          <w:u w:val="single"/>
        </w:rPr>
        <w:t>855,000.00</w:t>
      </w:r>
      <w:r>
        <w:rPr>
          <w:rFonts w:hint="eastAsia" w:ascii="宋体" w:hAnsi="宋体" w:cs="宋体"/>
          <w:b/>
          <w:bCs/>
          <w:sz w:val="24"/>
          <w:szCs w:val="24"/>
          <w:u w:val="single"/>
        </w:rPr>
        <w:t>元</w:t>
      </w:r>
      <w:r>
        <w:rPr>
          <w:rFonts w:hint="eastAsia" w:ascii="宋体" w:hAnsi="宋体" w:cs="宋体"/>
          <w:sz w:val="24"/>
          <w:szCs w:val="24"/>
        </w:rPr>
        <w:t>）。</w:t>
      </w:r>
      <w:r>
        <w:rPr>
          <w:rFonts w:hint="eastAsia" w:ascii="宋体" w:hAnsi="宋体" w:cs="宋体"/>
          <w:sz w:val="24"/>
          <w:szCs w:val="24"/>
          <w:lang w:bidi="ar"/>
        </w:rPr>
        <w:t>该服务费用是含税价，包括但不限于乙方为实施本项目服务内容所需的设备、技术、人员、耗材、交通、通讯、差旅、验收等所有费用及其税金，该服务费用为固定金额，除此之外，甲方不再支付任何费用。</w:t>
      </w:r>
    </w:p>
    <w:p>
      <w:pPr>
        <w:spacing w:line="360" w:lineRule="auto"/>
        <w:outlineLvl w:val="1"/>
        <w:rPr>
          <w:rFonts w:ascii="宋体" w:hAnsi="宋体" w:cs="Tahoma"/>
          <w:b/>
          <w:sz w:val="24"/>
          <w:szCs w:val="24"/>
        </w:rPr>
      </w:pPr>
      <w:bookmarkStart w:id="69" w:name="_Toc21111"/>
      <w:bookmarkStart w:id="70" w:name="_Toc25919"/>
      <w:bookmarkStart w:id="71" w:name="_Toc91288819"/>
      <w:bookmarkStart w:id="72" w:name="_Toc90148913"/>
      <w:bookmarkStart w:id="73" w:name="_Toc149248228"/>
      <w:bookmarkStart w:id="74" w:name="_Toc82692186"/>
      <w:bookmarkStart w:id="75" w:name="_Toc82445254"/>
      <w:r>
        <w:rPr>
          <w:rFonts w:hint="eastAsia" w:ascii="宋体" w:hAnsi="宋体" w:cs="Tahoma"/>
          <w:b/>
          <w:sz w:val="24"/>
          <w:szCs w:val="24"/>
        </w:rPr>
        <w:t xml:space="preserve">第三条  </w:t>
      </w:r>
      <w:bookmarkEnd w:id="69"/>
      <w:bookmarkEnd w:id="70"/>
      <w:r>
        <w:rPr>
          <w:rFonts w:hint="eastAsia" w:ascii="宋体" w:hAnsi="宋体" w:cs="Tahoma"/>
          <w:b/>
          <w:sz w:val="24"/>
          <w:szCs w:val="24"/>
        </w:rPr>
        <w:t>服务期和</w:t>
      </w:r>
      <w:bookmarkEnd w:id="71"/>
      <w:bookmarkEnd w:id="72"/>
      <w:r>
        <w:rPr>
          <w:rFonts w:hint="eastAsia" w:ascii="宋体" w:hAnsi="宋体" w:cs="Tahoma"/>
          <w:b/>
          <w:sz w:val="24"/>
          <w:szCs w:val="24"/>
        </w:rPr>
        <w:t>服务地点</w:t>
      </w:r>
      <w:bookmarkEnd w:id="73"/>
    </w:p>
    <w:p>
      <w:pPr>
        <w:spacing w:line="360" w:lineRule="auto"/>
        <w:ind w:firstLine="426"/>
        <w:rPr>
          <w:rFonts w:ascii="宋体" w:hAnsi="宋体" w:cs="宋体"/>
          <w:color w:val="000000"/>
          <w:sz w:val="24"/>
          <w:szCs w:val="24"/>
          <w:shd w:val="clear" w:color="auto" w:fill="FFFFFF"/>
        </w:rPr>
      </w:pPr>
      <w:r>
        <w:rPr>
          <w:rFonts w:hint="eastAsia" w:ascii="宋体" w:hAnsi="宋体" w:cs="宋体"/>
          <w:sz w:val="24"/>
          <w:szCs w:val="24"/>
        </w:rPr>
        <w:t>（一）</w:t>
      </w:r>
      <w:r>
        <w:rPr>
          <w:rFonts w:hint="eastAsia" w:ascii="宋体" w:hAnsi="宋体" w:cs="宋体"/>
          <w:color w:val="000000"/>
          <w:sz w:val="24"/>
          <w:szCs w:val="24"/>
        </w:rPr>
        <w:t>服务</w:t>
      </w:r>
      <w:r>
        <w:rPr>
          <w:rFonts w:hint="eastAsia" w:ascii="宋体" w:hAnsi="宋体" w:cs="宋体"/>
          <w:color w:val="000000"/>
          <w:sz w:val="24"/>
          <w:szCs w:val="24"/>
          <w:shd w:val="clear" w:color="auto" w:fill="FFFFFF"/>
        </w:rPr>
        <w:t>期：</w:t>
      </w:r>
      <w:r>
        <w:rPr>
          <w:rFonts w:hint="eastAsia" w:ascii="宋体" w:hAnsi="宋体"/>
          <w:sz w:val="24"/>
          <w:szCs w:val="24"/>
        </w:rPr>
        <w:t>自合同签订之日起至本项目演习结束并通过验收为止。</w:t>
      </w:r>
    </w:p>
    <w:p>
      <w:pPr>
        <w:spacing w:line="360" w:lineRule="auto"/>
        <w:ind w:firstLine="426"/>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（二）服务地点：</w:t>
      </w:r>
      <w:r>
        <w:rPr>
          <w:rFonts w:hint="eastAsia" w:ascii="宋体" w:hAnsi="宋体" w:cs="Tahoma"/>
          <w:bCs/>
          <w:sz w:val="24"/>
          <w:szCs w:val="24"/>
        </w:rPr>
        <w:t>阳江广泰隆码头13-14泊位对开水域。</w:t>
      </w:r>
    </w:p>
    <w:bookmarkEnd w:id="74"/>
    <w:bookmarkEnd w:id="75"/>
    <w:p>
      <w:pPr>
        <w:spacing w:line="360" w:lineRule="auto"/>
        <w:outlineLvl w:val="1"/>
        <w:rPr>
          <w:rFonts w:ascii="宋体" w:hAnsi="宋体" w:cs="Tahoma"/>
          <w:b/>
          <w:sz w:val="24"/>
          <w:szCs w:val="24"/>
        </w:rPr>
      </w:pPr>
      <w:bookmarkStart w:id="76" w:name="_Toc91288820"/>
      <w:bookmarkStart w:id="77" w:name="_Toc90148914"/>
      <w:bookmarkStart w:id="78" w:name="_Toc21310"/>
      <w:bookmarkStart w:id="79" w:name="_Toc27301"/>
      <w:bookmarkStart w:id="80" w:name="_Toc149248229"/>
      <w:r>
        <w:rPr>
          <w:rFonts w:hint="eastAsia" w:ascii="宋体" w:hAnsi="宋体" w:cs="Tahoma"/>
          <w:b/>
          <w:sz w:val="24"/>
          <w:szCs w:val="24"/>
        </w:rPr>
        <w:t xml:space="preserve">第四条  </w:t>
      </w:r>
      <w:bookmarkEnd w:id="76"/>
      <w:bookmarkEnd w:id="77"/>
      <w:bookmarkEnd w:id="78"/>
      <w:bookmarkEnd w:id="79"/>
      <w:r>
        <w:rPr>
          <w:rFonts w:hint="eastAsia" w:ascii="宋体" w:hAnsi="宋体" w:cs="Tahoma"/>
          <w:b/>
          <w:sz w:val="24"/>
          <w:szCs w:val="24"/>
        </w:rPr>
        <w:t>服务内容</w:t>
      </w:r>
      <w:bookmarkEnd w:id="80"/>
    </w:p>
    <w:p>
      <w:pPr>
        <w:spacing w:line="360" w:lineRule="auto"/>
        <w:ind w:left="568"/>
        <w:rPr>
          <w:rFonts w:ascii="宋体" w:hAnsi="宋体"/>
          <w:color w:val="000000"/>
          <w:sz w:val="24"/>
          <w:szCs w:val="24"/>
          <w:shd w:val="clear" w:color="auto" w:fill="FFFFFF"/>
        </w:rPr>
      </w:pPr>
      <w:bookmarkStart w:id="81" w:name="_Toc514163571"/>
      <w:bookmarkStart w:id="82" w:name="_Toc515971203"/>
      <w:bookmarkStart w:id="83" w:name="_Toc69828228"/>
      <w:bookmarkStart w:id="84" w:name="_Toc82692194"/>
      <w:bookmarkStart w:id="85" w:name="_Toc78444613"/>
      <w:bookmarkStart w:id="86" w:name="_Toc515956934"/>
      <w:bookmarkStart w:id="87" w:name="_Toc504062535"/>
      <w:bookmarkStart w:id="88" w:name="_Toc66020769"/>
      <w:bookmarkStart w:id="89" w:name="_Toc504122271"/>
      <w:bookmarkStart w:id="90" w:name="_Toc11922005"/>
      <w:bookmarkStart w:id="91" w:name="_Toc504741267"/>
      <w:bookmarkStart w:id="92" w:name="_Toc513652319"/>
      <w:bookmarkStart w:id="93" w:name="_Toc498978644"/>
      <w:bookmarkStart w:id="94" w:name="_Toc498079534"/>
      <w:bookmarkStart w:id="95" w:name="_Toc51249796"/>
      <w:bookmarkStart w:id="96" w:name="_Toc80869742"/>
      <w:bookmarkStart w:id="97" w:name="_Toc499278268"/>
      <w:bookmarkStart w:id="98" w:name="_Toc21549"/>
      <w:bookmarkStart w:id="99" w:name="_Toc15769"/>
      <w:bookmarkStart w:id="100" w:name="_Toc71878601"/>
      <w:bookmarkStart w:id="101" w:name="_Toc90148917"/>
      <w:bookmarkStart w:id="102" w:name="_Toc24471634"/>
      <w:bookmarkStart w:id="103" w:name="_Toc515957286"/>
      <w:bookmarkStart w:id="104" w:name="_Toc91288823"/>
      <w:bookmarkStart w:id="105" w:name="_Toc75028780"/>
      <w:bookmarkStart w:id="106" w:name="_Toc29355"/>
      <w:bookmarkStart w:id="107" w:name="_Toc77781869"/>
      <w:bookmarkStart w:id="108" w:name="_Toc498265689"/>
      <w:bookmarkStart w:id="109" w:name="_Toc503169256"/>
      <w:bookmarkStart w:id="110" w:name="_Toc78274969"/>
      <w:bookmarkStart w:id="111" w:name="_Toc82445261"/>
      <w:bookmarkStart w:id="112" w:name="_Toc51681508"/>
      <w:bookmarkStart w:id="113" w:name="_Toc496096036"/>
      <w:bookmarkStart w:id="114" w:name="_Toc496123830"/>
      <w:bookmarkStart w:id="115" w:name="_Toc496045542"/>
      <w:r>
        <w:rPr>
          <w:rFonts w:hint="eastAsia" w:ascii="宋体" w:hAnsi="宋体"/>
          <w:color w:val="000000"/>
          <w:sz w:val="24"/>
          <w:szCs w:val="24"/>
          <w:shd w:val="clear" w:color="auto" w:fill="FFFFFF"/>
        </w:rPr>
        <w:t>（一）演习主题</w:t>
      </w:r>
    </w:p>
    <w:p>
      <w:pPr>
        <w:spacing w:line="360" w:lineRule="auto"/>
        <w:ind w:firstLine="480" w:firstLineChars="200"/>
        <w:rPr>
          <w:rFonts w:ascii="宋体" w:hAnsi="宋体"/>
          <w:color w:val="000000"/>
          <w:sz w:val="24"/>
          <w:szCs w:val="24"/>
          <w:shd w:val="clear" w:color="auto" w:fill="FFFFFF"/>
        </w:rPr>
      </w:pPr>
      <w:r>
        <w:rPr>
          <w:rFonts w:hint="eastAsia" w:ascii="宋体" w:hAnsi="宋体"/>
          <w:color w:val="000000"/>
          <w:sz w:val="24"/>
          <w:szCs w:val="24"/>
          <w:shd w:val="clear" w:color="auto" w:fill="FFFFFF"/>
        </w:rPr>
        <w:t>应对海上突发事件应急指挥和救援处置联合演练，强化搜救能力建设，共筑海上安全防线。</w:t>
      </w:r>
    </w:p>
    <w:p>
      <w:pPr>
        <w:spacing w:line="360" w:lineRule="auto"/>
        <w:ind w:left="568"/>
        <w:rPr>
          <w:rFonts w:ascii="宋体" w:hAnsi="宋体"/>
          <w:color w:val="000000"/>
          <w:sz w:val="24"/>
          <w:szCs w:val="24"/>
          <w:shd w:val="clear" w:color="auto" w:fill="FFFFFF"/>
        </w:rPr>
      </w:pPr>
      <w:r>
        <w:rPr>
          <w:rFonts w:hint="eastAsia" w:ascii="宋体" w:hAnsi="宋体"/>
          <w:color w:val="000000"/>
          <w:sz w:val="24"/>
          <w:szCs w:val="24"/>
          <w:shd w:val="clear" w:color="auto" w:fill="FFFFFF"/>
        </w:rPr>
        <w:t>（二）演习时间</w:t>
      </w:r>
    </w:p>
    <w:p>
      <w:pPr>
        <w:spacing w:line="360" w:lineRule="auto"/>
        <w:ind w:firstLine="482" w:firstLineChars="200"/>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拟定于11月中旬某日下午14:30时-17:35时；综合考虑气象和潮汐因素等适时调整（预留30分钟进行签到）。</w:t>
      </w:r>
    </w:p>
    <w:p>
      <w:pPr>
        <w:pStyle w:val="4"/>
        <w:spacing w:line="360" w:lineRule="auto"/>
        <w:rPr>
          <w:rFonts w:ascii="宋体" w:hAnsi="宋体" w:eastAsia="宋体"/>
          <w:bCs/>
          <w:color w:val="000000"/>
          <w:sz w:val="24"/>
          <w:szCs w:val="24"/>
          <w:shd w:val="clear" w:color="auto" w:fill="FFFFFF"/>
        </w:rPr>
      </w:pPr>
      <w:r>
        <w:rPr>
          <w:rFonts w:hint="eastAsia" w:ascii="宋体" w:hAnsi="宋体" w:eastAsia="宋体"/>
          <w:bCs/>
          <w:color w:val="000000"/>
          <w:sz w:val="24"/>
          <w:szCs w:val="24"/>
          <w:shd w:val="clear" w:color="auto" w:fill="FFFFFF"/>
        </w:rPr>
        <w:t>（三）演习内容</w:t>
      </w:r>
    </w:p>
    <w:p>
      <w:pPr>
        <w:spacing w:line="360" w:lineRule="auto"/>
        <w:ind w:firstLine="480" w:firstLineChars="200"/>
        <w:rPr>
          <w:rFonts w:ascii="宋体" w:hAnsi="宋体" w:cs="宋体"/>
          <w:sz w:val="24"/>
          <w:szCs w:val="24"/>
        </w:rPr>
      </w:pPr>
      <w:r>
        <w:rPr>
          <w:rFonts w:hint="eastAsia" w:ascii="宋体" w:hAnsi="宋体" w:cs="宋体"/>
          <w:sz w:val="24"/>
          <w:szCs w:val="24"/>
        </w:rPr>
        <w:t>1.本次演习采用海空立体搜救模式开展，演习模拟情景：</w:t>
      </w:r>
    </w:p>
    <w:p>
      <w:pPr>
        <w:spacing w:line="360" w:lineRule="auto"/>
        <w:ind w:firstLine="480" w:firstLineChars="200"/>
        <w:rPr>
          <w:rFonts w:ascii="宋体" w:hAnsi="宋体" w:cs="宋体"/>
          <w:sz w:val="24"/>
          <w:szCs w:val="24"/>
        </w:rPr>
      </w:pPr>
      <w:r>
        <w:rPr>
          <w:rFonts w:hint="eastAsia" w:ascii="宋体" w:hAnsi="宋体" w:cs="宋体"/>
          <w:sz w:val="24"/>
          <w:szCs w:val="24"/>
        </w:rPr>
        <w:t>（1）海上风电船舶防台人员撤离。</w:t>
      </w:r>
    </w:p>
    <w:p>
      <w:pPr>
        <w:spacing w:line="360" w:lineRule="auto"/>
        <w:ind w:firstLine="480" w:firstLineChars="200"/>
        <w:rPr>
          <w:rFonts w:ascii="宋体" w:hAnsi="宋体" w:cs="宋体"/>
          <w:sz w:val="24"/>
          <w:szCs w:val="24"/>
        </w:rPr>
      </w:pPr>
      <w:r>
        <w:rPr>
          <w:rFonts w:hint="eastAsia" w:ascii="宋体" w:hAnsi="宋体" w:cs="宋体"/>
          <w:sz w:val="24"/>
          <w:szCs w:val="24"/>
        </w:rPr>
        <w:t>（2）船舶碰撞和遇险人员转移。</w:t>
      </w:r>
    </w:p>
    <w:p>
      <w:pPr>
        <w:spacing w:line="360" w:lineRule="auto"/>
        <w:ind w:firstLine="480" w:firstLineChars="200"/>
        <w:rPr>
          <w:rFonts w:ascii="宋体" w:hAnsi="宋体" w:cs="宋体"/>
          <w:sz w:val="24"/>
          <w:szCs w:val="24"/>
        </w:rPr>
      </w:pPr>
      <w:r>
        <w:rPr>
          <w:rFonts w:hint="eastAsia" w:ascii="宋体" w:hAnsi="宋体" w:cs="宋体"/>
          <w:sz w:val="24"/>
          <w:szCs w:val="24"/>
        </w:rPr>
        <w:t>（3）搜救落水人员。</w:t>
      </w:r>
    </w:p>
    <w:p>
      <w:pPr>
        <w:spacing w:line="360" w:lineRule="auto"/>
        <w:ind w:firstLine="480" w:firstLineChars="200"/>
        <w:rPr>
          <w:rFonts w:ascii="宋体" w:hAnsi="宋体" w:cs="宋体"/>
          <w:sz w:val="24"/>
          <w:szCs w:val="24"/>
        </w:rPr>
      </w:pPr>
      <w:r>
        <w:rPr>
          <w:rFonts w:hint="eastAsia" w:ascii="宋体" w:hAnsi="宋体" w:cs="宋体"/>
          <w:sz w:val="24"/>
          <w:szCs w:val="24"/>
        </w:rPr>
        <w:t>（4）防走锚船舶碰撞风机应急处置。</w:t>
      </w:r>
    </w:p>
    <w:p>
      <w:pPr>
        <w:spacing w:line="360" w:lineRule="auto"/>
        <w:ind w:firstLine="480" w:firstLineChars="200"/>
        <w:rPr>
          <w:rFonts w:ascii="宋体" w:hAnsi="宋体" w:cs="宋体"/>
          <w:sz w:val="24"/>
          <w:szCs w:val="24"/>
        </w:rPr>
      </w:pPr>
      <w:r>
        <w:rPr>
          <w:rFonts w:hint="eastAsia" w:ascii="宋体" w:hAnsi="宋体" w:cs="宋体"/>
          <w:sz w:val="24"/>
          <w:szCs w:val="24"/>
        </w:rPr>
        <w:t>（5）船舶消防救援，包含消防拖轮协助灭火。</w:t>
      </w:r>
    </w:p>
    <w:p>
      <w:pPr>
        <w:spacing w:line="360" w:lineRule="auto"/>
        <w:ind w:firstLine="480" w:firstLineChars="200"/>
        <w:rPr>
          <w:rFonts w:ascii="宋体" w:hAnsi="宋体" w:cs="宋体"/>
          <w:sz w:val="24"/>
          <w:szCs w:val="24"/>
        </w:rPr>
      </w:pPr>
      <w:r>
        <w:rPr>
          <w:rFonts w:hint="eastAsia" w:ascii="宋体" w:hAnsi="宋体" w:cs="宋体"/>
          <w:sz w:val="24"/>
          <w:szCs w:val="24"/>
        </w:rPr>
        <w:t>（6）船舶溢油应急处置，分为溢油围控、海面溢油回收、清除等。</w:t>
      </w:r>
    </w:p>
    <w:p>
      <w:pPr>
        <w:spacing w:line="360" w:lineRule="auto"/>
        <w:ind w:firstLine="480" w:firstLineChars="200"/>
        <w:rPr>
          <w:rFonts w:ascii="宋体" w:hAnsi="宋体" w:cs="宋体"/>
          <w:b/>
          <w:sz w:val="24"/>
          <w:szCs w:val="24"/>
        </w:rPr>
      </w:pPr>
      <w:r>
        <w:rPr>
          <w:rFonts w:hint="eastAsia" w:ascii="宋体" w:hAnsi="宋体" w:cs="宋体"/>
          <w:sz w:val="24"/>
          <w:szCs w:val="24"/>
        </w:rPr>
        <w:t>整个演习共包含6个科目，参演单位25个，出动演习船舶15艘，演习人员120名，直升飞机2架，邀请观摩单位31个、观摩人员70人。全部演习时间为2小时30分，最终成功处置海上险情。</w:t>
      </w:r>
    </w:p>
    <w:p>
      <w:pPr>
        <w:spacing w:line="360" w:lineRule="auto"/>
        <w:ind w:firstLine="480" w:firstLineChars="200"/>
        <w:rPr>
          <w:rFonts w:ascii="宋体" w:hAnsi="宋体" w:cs="宋体"/>
          <w:sz w:val="24"/>
          <w:szCs w:val="24"/>
        </w:rPr>
      </w:pPr>
      <w:r>
        <w:rPr>
          <w:rFonts w:hint="eastAsia" w:ascii="宋体" w:hAnsi="宋体" w:cs="宋体"/>
          <w:sz w:val="24"/>
          <w:szCs w:val="24"/>
        </w:rPr>
        <w:t>2.防台应急演习，检验海上风电企业安全生产主体责任的落实情况，各成员单位台风期间的应急处置能力。</w:t>
      </w:r>
    </w:p>
    <w:p>
      <w:pPr>
        <w:spacing w:line="360" w:lineRule="auto"/>
        <w:ind w:firstLine="480" w:firstLineChars="200"/>
        <w:rPr>
          <w:rFonts w:ascii="宋体" w:hAnsi="宋体" w:cs="宋体"/>
          <w:sz w:val="24"/>
          <w:szCs w:val="24"/>
        </w:rPr>
      </w:pPr>
      <w:r>
        <w:rPr>
          <w:rFonts w:hint="eastAsia" w:ascii="宋体" w:hAnsi="宋体" w:cs="宋体"/>
          <w:sz w:val="24"/>
          <w:szCs w:val="24"/>
        </w:rPr>
        <w:t>3.船舶碰撞演习，检验海上风电企业安全生产主体责任的落实情况，各成员单位和相关企业应对海上人命救助（人员转移）、火灾、防污染、防碰撞的应急处置能力。</w:t>
      </w:r>
    </w:p>
    <w:p>
      <w:pPr>
        <w:pStyle w:val="4"/>
        <w:spacing w:line="360" w:lineRule="auto"/>
        <w:rPr>
          <w:rFonts w:ascii="宋体" w:hAnsi="宋体" w:eastAsia="宋体"/>
          <w:bCs/>
          <w:color w:val="000000"/>
          <w:sz w:val="24"/>
          <w:szCs w:val="24"/>
          <w:shd w:val="clear" w:color="auto" w:fill="FFFFFF"/>
        </w:rPr>
      </w:pPr>
      <w:r>
        <w:rPr>
          <w:rFonts w:hint="eastAsia" w:ascii="宋体" w:hAnsi="宋体" w:eastAsia="宋体"/>
          <w:bCs/>
          <w:color w:val="000000"/>
          <w:sz w:val="24"/>
          <w:szCs w:val="24"/>
          <w:shd w:val="clear" w:color="auto" w:fill="FFFFFF"/>
        </w:rPr>
        <w:t>（四）服务清单</w:t>
      </w:r>
    </w:p>
    <w:tbl>
      <w:tblPr>
        <w:tblStyle w:val="7"/>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5"/>
        <w:gridCol w:w="694"/>
        <w:gridCol w:w="2091"/>
        <w:gridCol w:w="1776"/>
        <w:gridCol w:w="894"/>
        <w:gridCol w:w="1066"/>
        <w:gridCol w:w="1824"/>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435" w:hRule="atLeast"/>
          <w:jc w:val="center"/>
        </w:trPr>
        <w:tc>
          <w:tcPr>
            <w:tcW w:w="9170" w:type="dxa"/>
            <w:gridSpan w:val="7"/>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1、演习场地布置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restart"/>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主舞台及场地搭建</w:t>
            </w: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581"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规格</w:t>
            </w:r>
          </w:p>
        </w:tc>
        <w:tc>
          <w:tcPr>
            <w:tcW w:w="915"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1106"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835" w:type="dxa"/>
            <w:gridSpan w:val="2"/>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观摩区地台</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19.52x14.64m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285</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观众席梯台</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19.52*1.22mx6排，每排递增20cm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142</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3</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桁架扶手</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两边各8米扶手+12米脚</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28</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桁架包KT板扶手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4</w:t>
            </w:r>
          </w:p>
        </w:tc>
        <w:tc>
          <w:tcPr>
            <w:tcW w:w="2182" w:type="dxa"/>
            <w:vMerge w:val="restart"/>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LED大屏</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6x4.5mx2块</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54</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租赁P3高清LED屏幕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5</w:t>
            </w:r>
          </w:p>
        </w:tc>
        <w:tc>
          <w:tcPr>
            <w:tcW w:w="2182" w:type="dxa"/>
            <w:vMerge w:val="continue"/>
            <w:noWrap w:val="0"/>
            <w:vAlign w:val="center"/>
          </w:tcPr>
          <w:p>
            <w:pPr>
              <w:spacing w:line="360" w:lineRule="auto"/>
              <w:jc w:val="center"/>
              <w:rPr>
                <w:rFonts w:ascii="宋体" w:hAnsi="宋体" w:cs="宋体"/>
                <w:b/>
                <w:bCs/>
                <w:color w:val="000000"/>
                <w:sz w:val="24"/>
                <w:szCs w:val="24"/>
              </w:rPr>
            </w:pP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屏幕支架</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835" w:type="dxa"/>
            <w:gridSpan w:val="2"/>
            <w:noWrap w:val="0"/>
            <w:vAlign w:val="top"/>
          </w:tcPr>
          <w:p>
            <w:pPr>
              <w:spacing w:line="360" w:lineRule="auto"/>
              <w:jc w:val="left"/>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6</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观众席背景</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18.2x2.4m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45</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7</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65寸高清电视（观众席）</w:t>
            </w:r>
          </w:p>
        </w:tc>
        <w:tc>
          <w:tcPr>
            <w:tcW w:w="1581" w:type="dxa"/>
            <w:noWrap w:val="0"/>
            <w:vAlign w:val="top"/>
          </w:tcPr>
          <w:p>
            <w:pPr>
              <w:spacing w:line="360" w:lineRule="auto"/>
              <w:jc w:val="left"/>
              <w:rPr>
                <w:rFonts w:ascii="宋体" w:hAnsi="宋体" w:cs="Arial"/>
                <w:color w:val="000000"/>
                <w:sz w:val="24"/>
                <w:szCs w:val="24"/>
              </w:rPr>
            </w:pP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8</w:t>
            </w:r>
          </w:p>
        </w:tc>
        <w:tc>
          <w:tcPr>
            <w:tcW w:w="2182" w:type="dxa"/>
            <w:vMerge w:val="restart"/>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舞台音响系统</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主控调音台</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A&amp;H-GL2400调音台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9</w:t>
            </w:r>
          </w:p>
        </w:tc>
        <w:tc>
          <w:tcPr>
            <w:tcW w:w="2182" w:type="dxa"/>
            <w:vMerge w:val="continue"/>
            <w:noWrap w:val="0"/>
            <w:vAlign w:val="center"/>
          </w:tcPr>
          <w:p>
            <w:pPr>
              <w:spacing w:line="360" w:lineRule="auto"/>
              <w:jc w:val="center"/>
              <w:rPr>
                <w:rFonts w:ascii="宋体" w:hAnsi="宋体" w:cs="宋体"/>
                <w:b/>
                <w:bCs/>
                <w:color w:val="000000"/>
                <w:sz w:val="24"/>
                <w:szCs w:val="24"/>
              </w:rPr>
            </w:pP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主扩扬声器 Linear sound</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ODI-la110P(10寸全频线阵）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10</w:t>
            </w:r>
          </w:p>
        </w:tc>
        <w:tc>
          <w:tcPr>
            <w:tcW w:w="2182" w:type="dxa"/>
            <w:vMerge w:val="continue"/>
            <w:noWrap w:val="0"/>
            <w:vAlign w:val="center"/>
          </w:tcPr>
          <w:p>
            <w:pPr>
              <w:spacing w:line="360" w:lineRule="auto"/>
              <w:jc w:val="center"/>
              <w:rPr>
                <w:rFonts w:ascii="宋体" w:hAnsi="宋体" w:cs="宋体"/>
                <w:b/>
                <w:bCs/>
                <w:color w:val="000000"/>
                <w:sz w:val="24"/>
                <w:szCs w:val="24"/>
              </w:rPr>
            </w:pP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主扩超低音箱 Low sound</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ODI-18H18寸低频线阵）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11</w:t>
            </w:r>
          </w:p>
        </w:tc>
        <w:tc>
          <w:tcPr>
            <w:tcW w:w="2182" w:type="dxa"/>
            <w:vMerge w:val="continue"/>
            <w:noWrap w:val="0"/>
            <w:vAlign w:val="center"/>
          </w:tcPr>
          <w:p>
            <w:pPr>
              <w:spacing w:line="360" w:lineRule="auto"/>
              <w:jc w:val="center"/>
              <w:rPr>
                <w:rFonts w:ascii="宋体" w:hAnsi="宋体" w:cs="宋体"/>
                <w:b/>
                <w:bCs/>
                <w:color w:val="000000"/>
                <w:sz w:val="24"/>
                <w:szCs w:val="24"/>
              </w:rPr>
            </w:pP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监听音箱 monitor</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PS-115 (15寸全频监听)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12</w:t>
            </w:r>
          </w:p>
        </w:tc>
        <w:tc>
          <w:tcPr>
            <w:tcW w:w="2182" w:type="dxa"/>
            <w:vMerge w:val="continue"/>
            <w:noWrap w:val="0"/>
            <w:vAlign w:val="center"/>
          </w:tcPr>
          <w:p>
            <w:pPr>
              <w:spacing w:line="360" w:lineRule="auto"/>
              <w:jc w:val="center"/>
              <w:rPr>
                <w:rFonts w:ascii="宋体" w:hAnsi="宋体" w:cs="宋体"/>
                <w:b/>
                <w:bCs/>
                <w:color w:val="000000"/>
                <w:sz w:val="24"/>
                <w:szCs w:val="24"/>
              </w:rPr>
            </w:pP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无线手持话筒</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AMS-2500（配套beta58手持）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restart"/>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指挥部</w:t>
            </w: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13</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50寸高清电视（指挥部）</w:t>
            </w:r>
          </w:p>
        </w:tc>
        <w:tc>
          <w:tcPr>
            <w:tcW w:w="1581" w:type="dxa"/>
            <w:noWrap w:val="0"/>
            <w:vAlign w:val="top"/>
          </w:tcPr>
          <w:p>
            <w:pPr>
              <w:spacing w:line="360" w:lineRule="auto"/>
              <w:jc w:val="left"/>
              <w:rPr>
                <w:rFonts w:ascii="宋体" w:hAnsi="宋体" w:cs="Arial"/>
                <w:color w:val="000000"/>
                <w:sz w:val="24"/>
                <w:szCs w:val="24"/>
              </w:rPr>
            </w:pP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14</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指挥部音响</w:t>
            </w:r>
          </w:p>
        </w:tc>
        <w:tc>
          <w:tcPr>
            <w:tcW w:w="1581" w:type="dxa"/>
            <w:noWrap w:val="0"/>
            <w:vAlign w:val="top"/>
          </w:tcPr>
          <w:p>
            <w:pPr>
              <w:spacing w:line="360" w:lineRule="auto"/>
              <w:jc w:val="left"/>
              <w:rPr>
                <w:rFonts w:ascii="宋体" w:hAnsi="宋体" w:cs="Arial"/>
                <w:color w:val="000000"/>
                <w:sz w:val="24"/>
                <w:szCs w:val="24"/>
              </w:rPr>
            </w:pP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835" w:type="dxa"/>
            <w:gridSpan w:val="2"/>
            <w:noWrap w:val="0"/>
            <w:vAlign w:val="top"/>
          </w:tcPr>
          <w:p>
            <w:pPr>
              <w:spacing w:line="360" w:lineRule="auto"/>
              <w:jc w:val="left"/>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15</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指挥部背景</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5*3m，双面</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16</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太空帐篷</w:t>
            </w:r>
            <w:r>
              <w:rPr>
                <w:rFonts w:hint="eastAsia" w:ascii="宋体" w:hAnsi="宋体" w:cs="宋体"/>
                <w:b/>
                <w:bCs/>
                <w:color w:val="000000"/>
                <w:kern w:val="0"/>
                <w:sz w:val="24"/>
                <w:szCs w:val="24"/>
                <w:lang w:bidi="ar"/>
              </w:rPr>
              <w:br w:type="textWrapping"/>
            </w:r>
            <w:r>
              <w:rPr>
                <w:rFonts w:hint="eastAsia" w:ascii="宋体" w:hAnsi="宋体" w:cs="宋体"/>
                <w:b/>
                <w:bCs/>
                <w:color w:val="000000"/>
                <w:kern w:val="0"/>
                <w:sz w:val="24"/>
                <w:szCs w:val="24"/>
                <w:lang w:bidi="ar"/>
              </w:rPr>
              <w:t>（指挥部）</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6x6m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spacing w:line="360" w:lineRule="auto"/>
              <w:jc w:val="center"/>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签到处</w:t>
            </w: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17</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签到处</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5x3m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租赁桁架外拉黑底喷画，含桌椅签到用品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18</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太空帐篷</w:t>
            </w:r>
            <w:r>
              <w:rPr>
                <w:rFonts w:hint="eastAsia" w:ascii="宋体" w:hAnsi="宋体" w:cs="宋体"/>
                <w:b/>
                <w:bCs/>
                <w:color w:val="000000"/>
                <w:kern w:val="0"/>
                <w:sz w:val="24"/>
                <w:szCs w:val="24"/>
                <w:lang w:bidi="ar"/>
              </w:rPr>
              <w:br w:type="textWrapping"/>
            </w:r>
            <w:r>
              <w:rPr>
                <w:rFonts w:hint="eastAsia" w:ascii="宋体" w:hAnsi="宋体" w:cs="宋体"/>
                <w:b/>
                <w:bCs/>
                <w:color w:val="000000"/>
                <w:kern w:val="0"/>
                <w:sz w:val="24"/>
                <w:szCs w:val="24"/>
                <w:lang w:bidi="ar"/>
              </w:rPr>
              <w:t>（签到处）</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6x6m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spacing w:line="360" w:lineRule="auto"/>
              <w:jc w:val="center"/>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其他印刷品及物料</w:t>
            </w: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19</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休息区</w:t>
            </w:r>
          </w:p>
        </w:tc>
        <w:tc>
          <w:tcPr>
            <w:tcW w:w="1581" w:type="dxa"/>
            <w:noWrap w:val="0"/>
            <w:vAlign w:val="top"/>
          </w:tcPr>
          <w:p>
            <w:pPr>
              <w:spacing w:line="360" w:lineRule="auto"/>
              <w:jc w:val="left"/>
              <w:rPr>
                <w:rFonts w:ascii="宋体" w:hAnsi="宋体" w:cs="Arial"/>
                <w:color w:val="000000"/>
                <w:sz w:val="24"/>
                <w:szCs w:val="24"/>
              </w:rPr>
            </w:pP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间</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租赁桁架外拉黑底喷画/含地毯/椅子/灯光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20</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入门指引</w:t>
            </w:r>
            <w:r>
              <w:rPr>
                <w:rFonts w:hint="eastAsia" w:ascii="宋体" w:hAnsi="宋体" w:cs="宋体"/>
                <w:b/>
                <w:bCs/>
                <w:color w:val="000000"/>
                <w:kern w:val="0"/>
                <w:sz w:val="24"/>
                <w:szCs w:val="24"/>
                <w:lang w:bidi="ar"/>
              </w:rPr>
              <w:br w:type="textWrapping"/>
            </w:r>
            <w:r>
              <w:rPr>
                <w:rFonts w:hint="eastAsia" w:ascii="宋体" w:hAnsi="宋体" w:cs="宋体"/>
                <w:b/>
                <w:bCs/>
                <w:color w:val="000000"/>
                <w:kern w:val="0"/>
                <w:sz w:val="24"/>
                <w:szCs w:val="24"/>
                <w:lang w:bidi="ar"/>
              </w:rPr>
              <w:t>（大门+路口）</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3*3m，2个</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21</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工作证</w:t>
            </w:r>
          </w:p>
        </w:tc>
        <w:tc>
          <w:tcPr>
            <w:tcW w:w="1581" w:type="dxa"/>
            <w:noWrap w:val="0"/>
            <w:vAlign w:val="top"/>
          </w:tcPr>
          <w:p>
            <w:pPr>
              <w:spacing w:line="360" w:lineRule="auto"/>
              <w:jc w:val="left"/>
              <w:rPr>
                <w:rFonts w:ascii="宋体" w:hAnsi="宋体" w:cs="Arial"/>
                <w:color w:val="000000"/>
                <w:sz w:val="24"/>
                <w:szCs w:val="24"/>
              </w:rPr>
            </w:pP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220</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高清pvc证件，含蓝色挂带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22</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旗帜</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288x192cm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含4米可伸缩旗杆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23</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椅背贴</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A4粉纸打印</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张</w:t>
            </w:r>
          </w:p>
        </w:tc>
        <w:tc>
          <w:tcPr>
            <w:tcW w:w="1835" w:type="dxa"/>
            <w:gridSpan w:val="2"/>
            <w:noWrap w:val="0"/>
            <w:vAlign w:val="top"/>
          </w:tcPr>
          <w:p>
            <w:pPr>
              <w:spacing w:line="360" w:lineRule="auto"/>
              <w:jc w:val="left"/>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24</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观众席嘉宾椅</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白套+蓝花</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190</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张</w:t>
            </w:r>
          </w:p>
        </w:tc>
        <w:tc>
          <w:tcPr>
            <w:tcW w:w="1835" w:type="dxa"/>
            <w:gridSpan w:val="2"/>
            <w:noWrap w:val="0"/>
            <w:vAlign w:val="top"/>
          </w:tcPr>
          <w:p>
            <w:pPr>
              <w:spacing w:line="360" w:lineRule="auto"/>
              <w:jc w:val="left"/>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25</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会议桌</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1.8*0.4m，蓝色桌布</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32</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张</w:t>
            </w:r>
          </w:p>
        </w:tc>
        <w:tc>
          <w:tcPr>
            <w:tcW w:w="1835" w:type="dxa"/>
            <w:gridSpan w:val="2"/>
            <w:noWrap w:val="0"/>
            <w:vAlign w:val="top"/>
          </w:tcPr>
          <w:p>
            <w:pPr>
              <w:spacing w:line="360" w:lineRule="auto"/>
              <w:jc w:val="left"/>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26</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折叠椅</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蓝色</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张</w:t>
            </w:r>
          </w:p>
        </w:tc>
        <w:tc>
          <w:tcPr>
            <w:tcW w:w="1835" w:type="dxa"/>
            <w:gridSpan w:val="2"/>
            <w:noWrap w:val="0"/>
            <w:vAlign w:val="top"/>
          </w:tcPr>
          <w:p>
            <w:pPr>
              <w:spacing w:line="360" w:lineRule="auto"/>
              <w:jc w:val="left"/>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27</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移动洗手间</w:t>
            </w:r>
          </w:p>
        </w:tc>
        <w:tc>
          <w:tcPr>
            <w:tcW w:w="1581" w:type="dxa"/>
            <w:noWrap w:val="0"/>
            <w:vAlign w:val="top"/>
          </w:tcPr>
          <w:p>
            <w:pPr>
              <w:spacing w:line="360" w:lineRule="auto"/>
              <w:jc w:val="left"/>
              <w:rPr>
                <w:rFonts w:ascii="宋体" w:hAnsi="宋体" w:cs="Arial"/>
                <w:color w:val="000000"/>
                <w:sz w:val="24"/>
                <w:szCs w:val="24"/>
              </w:rPr>
            </w:pP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28</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卫生间指引</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2x1m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29</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通道地毯</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红地毯</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300</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场地所有红地毯铺垫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30</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天线桁架</w:t>
            </w:r>
          </w:p>
        </w:tc>
        <w:tc>
          <w:tcPr>
            <w:tcW w:w="1581"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控台后面，4*3m</w:t>
            </w: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平方米</w:t>
            </w:r>
          </w:p>
        </w:tc>
        <w:tc>
          <w:tcPr>
            <w:tcW w:w="1835" w:type="dxa"/>
            <w:gridSpan w:val="2"/>
            <w:noWrap w:val="0"/>
            <w:vAlign w:val="top"/>
          </w:tcPr>
          <w:p>
            <w:pPr>
              <w:spacing w:line="360" w:lineRule="auto"/>
              <w:jc w:val="left"/>
              <w:rPr>
                <w:rFonts w:ascii="宋体" w:hAnsi="宋体" w:cs="Arial"/>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31</w:t>
            </w:r>
          </w:p>
        </w:tc>
        <w:tc>
          <w:tcPr>
            <w:tcW w:w="218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运输费</w:t>
            </w:r>
          </w:p>
        </w:tc>
        <w:tc>
          <w:tcPr>
            <w:tcW w:w="1581" w:type="dxa"/>
            <w:noWrap w:val="0"/>
            <w:vAlign w:val="top"/>
          </w:tcPr>
          <w:p>
            <w:pPr>
              <w:spacing w:line="360" w:lineRule="auto"/>
              <w:jc w:val="left"/>
              <w:rPr>
                <w:rFonts w:ascii="宋体" w:hAnsi="宋体" w:cs="Arial"/>
                <w:color w:val="000000"/>
                <w:sz w:val="24"/>
                <w:szCs w:val="24"/>
              </w:rPr>
            </w:pPr>
          </w:p>
        </w:tc>
        <w:tc>
          <w:tcPr>
            <w:tcW w:w="915"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106"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835" w:type="dxa"/>
            <w:gridSpan w:val="2"/>
            <w:noWrap w:val="0"/>
            <w:vAlign w:val="top"/>
          </w:tcPr>
          <w:p>
            <w:pPr>
              <w:spacing w:line="360" w:lineRule="auto"/>
              <w:jc w:val="left"/>
              <w:rPr>
                <w:rFonts w:ascii="宋体" w:hAnsi="宋体" w:cs="Arial"/>
                <w:color w:val="000000"/>
                <w:sz w:val="24"/>
                <w:szCs w:val="24"/>
              </w:rPr>
            </w:pPr>
          </w:p>
        </w:tc>
      </w:tr>
    </w:tbl>
    <w:p>
      <w:pPr>
        <w:spacing w:line="360" w:lineRule="auto"/>
        <w:rPr>
          <w:rFonts w:ascii="宋体" w:hAnsi="宋体"/>
          <w:sz w:val="24"/>
          <w:szCs w:val="24"/>
        </w:rPr>
      </w:pPr>
    </w:p>
    <w:tbl>
      <w:tblPr>
        <w:tblStyle w:val="7"/>
        <w:tblW w:w="9105" w:type="dxa"/>
        <w:jc w:val="center"/>
        <w:tblLayout w:type="autofit"/>
        <w:tblCellMar>
          <w:top w:w="0" w:type="dxa"/>
          <w:left w:w="108" w:type="dxa"/>
          <w:bottom w:w="0" w:type="dxa"/>
          <w:right w:w="108" w:type="dxa"/>
        </w:tblCellMar>
      </w:tblPr>
      <w:tblGrid>
        <w:gridCol w:w="764"/>
        <w:gridCol w:w="674"/>
        <w:gridCol w:w="1648"/>
        <w:gridCol w:w="1656"/>
        <w:gridCol w:w="1656"/>
        <w:gridCol w:w="609"/>
        <w:gridCol w:w="674"/>
        <w:gridCol w:w="746"/>
        <w:gridCol w:w="678"/>
      </w:tblGrid>
      <w:tr>
        <w:tblPrEx>
          <w:tblCellMar>
            <w:top w:w="0" w:type="dxa"/>
            <w:left w:w="108" w:type="dxa"/>
            <w:bottom w:w="0" w:type="dxa"/>
            <w:right w:w="108" w:type="dxa"/>
          </w:tblCellMar>
        </w:tblPrEx>
        <w:trPr>
          <w:trHeight w:val="405" w:hRule="atLeast"/>
          <w:jc w:val="center"/>
        </w:trPr>
        <w:tc>
          <w:tcPr>
            <w:tcW w:w="9105" w:type="dxa"/>
            <w:gridSpan w:val="9"/>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2、视频拍摄、直播摄像设备（八个机位）</w:t>
            </w:r>
          </w:p>
        </w:tc>
      </w:tr>
      <w:tr>
        <w:tblPrEx>
          <w:tblCellMar>
            <w:top w:w="0" w:type="dxa"/>
            <w:left w:w="108" w:type="dxa"/>
            <w:bottom w:w="0" w:type="dxa"/>
            <w:right w:w="108" w:type="dxa"/>
          </w:tblCellMar>
        </w:tblPrEx>
        <w:trPr>
          <w:trHeight w:val="56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产品型号</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技术参数</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79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使用次数</w:t>
            </w:r>
          </w:p>
        </w:tc>
        <w:tc>
          <w:tcPr>
            <w:tcW w:w="71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63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拍摄设备</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便携高清广播级摄像机</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索尼PXW-Z280或同等级别摄像机</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索尼PXW-Z280或同等级别摄像机</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广播级摄像机</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松下AJ-HPX3100MC或同等级别摄像机</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松下AJ-HPX3100MC或同等级别摄像机</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94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3</w:t>
            </w:r>
          </w:p>
        </w:tc>
        <w:tc>
          <w:tcPr>
            <w:tcW w:w="1782" w:type="dxa"/>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长焦镜头</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Canon HJ40ex 40倍长焦或同等级别长</w:t>
            </w:r>
          </w:p>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焦镜头</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Canon HJ40ex 40倍长焦或同等级别长焦镜头</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4</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三脚架</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图瑞斯或同等级别专业摄像脚架</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图瑞斯或同等级别专业摄像脚架</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5</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硬盘录像机</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HyperDeck Studio12G或同等级别</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HyperDeck Studio12G或同等级别</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6</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高清视频切换台</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ATEM 1M/E Product</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ATEM 1M/E Product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84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7</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高清视频切换台面板</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ATEM 1M/E Advanced Panel</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ascii="宋体" w:hAnsi="宋体" w:cs="宋体"/>
                <w:color w:val="000000"/>
                <w:sz w:val="24"/>
                <w:szCs w:val="24"/>
              </w:rPr>
            </w:pPr>
            <w:r>
              <w:rPr>
                <w:rFonts w:hint="eastAsia" w:ascii="宋体" w:hAnsi="宋体" w:cs="宋体"/>
                <w:color w:val="000000"/>
                <w:kern w:val="0"/>
                <w:sz w:val="24"/>
                <w:szCs w:val="24"/>
                <w:lang w:bidi="ar"/>
              </w:rPr>
              <w:t xml:space="preserve">           ATEM 1M/E Advanced Panel</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8</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TALLY控制器</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GPIandTally Interface</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为ATEM切换台添加8个Tally继电器触点</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9</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视频监视器</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Sony或同等级别</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24寸，7寸视频显示器</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10</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技术区主控监视器</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松下或同等级别</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松下或同等级别</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11</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航拍飞行器</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大疆精灵PRO飞行器</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4K高清无人机航拍四轴飞行器</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84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通讯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12</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8路通话矩阵</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Eclipse8或同等级别</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8路通话矩阵，含对应数量耳机，话筒，手持对讲机</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bl>
    <w:p>
      <w:pPr>
        <w:spacing w:line="360" w:lineRule="auto"/>
        <w:rPr>
          <w:rFonts w:ascii="宋体" w:hAnsi="宋体"/>
          <w:sz w:val="24"/>
          <w:szCs w:val="24"/>
        </w:rPr>
      </w:pPr>
    </w:p>
    <w:tbl>
      <w:tblPr>
        <w:tblStyle w:val="7"/>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709"/>
        <w:gridCol w:w="992"/>
        <w:gridCol w:w="1134"/>
        <w:gridCol w:w="2558"/>
        <w:gridCol w:w="808"/>
        <w:gridCol w:w="708"/>
        <w:gridCol w:w="709"/>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040" w:type="dxa"/>
            <w:gridSpan w:val="9"/>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3、直播相关人员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76"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992"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134"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产品型号</w:t>
            </w:r>
          </w:p>
        </w:tc>
        <w:tc>
          <w:tcPr>
            <w:tcW w:w="2558"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技术参数</w:t>
            </w:r>
          </w:p>
        </w:tc>
        <w:tc>
          <w:tcPr>
            <w:tcW w:w="808"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708"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709"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次数</w:t>
            </w:r>
          </w:p>
        </w:tc>
        <w:tc>
          <w:tcPr>
            <w:tcW w:w="746" w:type="dxa"/>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76" w:type="dxa"/>
            <w:vMerge w:val="restart"/>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相关人员</w:t>
            </w:r>
          </w:p>
        </w:tc>
        <w:tc>
          <w:tcPr>
            <w:tcW w:w="709" w:type="dxa"/>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992"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导播</w:t>
            </w:r>
          </w:p>
        </w:tc>
        <w:tc>
          <w:tcPr>
            <w:tcW w:w="1134"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255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专业导播师，导播大型活动或比赛超100场</w:t>
            </w:r>
          </w:p>
        </w:tc>
        <w:tc>
          <w:tcPr>
            <w:tcW w:w="80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w:t>
            </w:r>
          </w:p>
        </w:tc>
        <w:tc>
          <w:tcPr>
            <w:tcW w:w="708"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09"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46" w:type="dxa"/>
            <w:vMerge w:val="restart"/>
            <w:noWrap w:val="0"/>
            <w:vAlign w:val="center"/>
          </w:tcPr>
          <w:p>
            <w:pPr>
              <w:spacing w:line="360" w:lineRule="auto"/>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992"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摄像</w:t>
            </w:r>
          </w:p>
        </w:tc>
        <w:tc>
          <w:tcPr>
            <w:tcW w:w="1134"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255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持证在职摄像师</w:t>
            </w:r>
          </w:p>
        </w:tc>
        <w:tc>
          <w:tcPr>
            <w:tcW w:w="80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w:t>
            </w:r>
          </w:p>
        </w:tc>
        <w:tc>
          <w:tcPr>
            <w:tcW w:w="708"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7</w:t>
            </w:r>
          </w:p>
        </w:tc>
        <w:tc>
          <w:tcPr>
            <w:tcW w:w="709"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46" w:type="dxa"/>
            <w:vMerge w:val="continue"/>
            <w:noWrap w:val="0"/>
            <w:vAlign w:val="center"/>
          </w:tcPr>
          <w:p>
            <w:pPr>
              <w:spacing w:line="360" w:lineRule="auto"/>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3</w:t>
            </w:r>
          </w:p>
        </w:tc>
        <w:tc>
          <w:tcPr>
            <w:tcW w:w="992"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航拍飞手</w:t>
            </w:r>
          </w:p>
        </w:tc>
        <w:tc>
          <w:tcPr>
            <w:tcW w:w="1134"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255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持证在职航拍飞手</w:t>
            </w:r>
          </w:p>
        </w:tc>
        <w:tc>
          <w:tcPr>
            <w:tcW w:w="80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w:t>
            </w:r>
          </w:p>
        </w:tc>
        <w:tc>
          <w:tcPr>
            <w:tcW w:w="708"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2</w:t>
            </w:r>
          </w:p>
        </w:tc>
        <w:tc>
          <w:tcPr>
            <w:tcW w:w="709"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46" w:type="dxa"/>
            <w:vMerge w:val="continue"/>
            <w:noWrap w:val="0"/>
            <w:vAlign w:val="center"/>
          </w:tcPr>
          <w:p>
            <w:pPr>
              <w:spacing w:line="360" w:lineRule="auto"/>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4</w:t>
            </w:r>
          </w:p>
        </w:tc>
        <w:tc>
          <w:tcPr>
            <w:tcW w:w="992"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摄像助理</w:t>
            </w:r>
          </w:p>
        </w:tc>
        <w:tc>
          <w:tcPr>
            <w:tcW w:w="1134"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255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摄像助理</w:t>
            </w:r>
          </w:p>
        </w:tc>
        <w:tc>
          <w:tcPr>
            <w:tcW w:w="80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w:t>
            </w:r>
          </w:p>
        </w:tc>
        <w:tc>
          <w:tcPr>
            <w:tcW w:w="708"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09"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46" w:type="dxa"/>
            <w:vMerge w:val="continue"/>
            <w:noWrap w:val="0"/>
            <w:vAlign w:val="center"/>
          </w:tcPr>
          <w:p>
            <w:pPr>
              <w:spacing w:line="360" w:lineRule="auto"/>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5</w:t>
            </w:r>
          </w:p>
        </w:tc>
        <w:tc>
          <w:tcPr>
            <w:tcW w:w="992"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技术相关</w:t>
            </w:r>
          </w:p>
        </w:tc>
        <w:tc>
          <w:tcPr>
            <w:tcW w:w="1134"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255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网络系统技术人员</w:t>
            </w:r>
          </w:p>
        </w:tc>
        <w:tc>
          <w:tcPr>
            <w:tcW w:w="80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w:t>
            </w:r>
          </w:p>
        </w:tc>
        <w:tc>
          <w:tcPr>
            <w:tcW w:w="708"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709"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46" w:type="dxa"/>
            <w:vMerge w:val="continue"/>
            <w:noWrap w:val="0"/>
            <w:vAlign w:val="center"/>
          </w:tcPr>
          <w:p>
            <w:pPr>
              <w:spacing w:line="360" w:lineRule="auto"/>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76" w:type="dxa"/>
            <w:vMerge w:val="continue"/>
            <w:noWrap w:val="0"/>
            <w:vAlign w:val="center"/>
          </w:tcPr>
          <w:p>
            <w:pPr>
              <w:spacing w:line="360" w:lineRule="auto"/>
              <w:jc w:val="center"/>
              <w:rPr>
                <w:rFonts w:ascii="宋体" w:hAnsi="宋体" w:cs="宋体"/>
                <w:b/>
                <w:bCs/>
                <w:color w:val="000000"/>
                <w:sz w:val="24"/>
                <w:szCs w:val="24"/>
              </w:rPr>
            </w:pPr>
          </w:p>
        </w:tc>
        <w:tc>
          <w:tcPr>
            <w:tcW w:w="709" w:type="dxa"/>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6</w:t>
            </w:r>
          </w:p>
        </w:tc>
        <w:tc>
          <w:tcPr>
            <w:tcW w:w="992"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现场工作人员</w:t>
            </w:r>
          </w:p>
        </w:tc>
        <w:tc>
          <w:tcPr>
            <w:tcW w:w="1134"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255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跟进直播流程</w:t>
            </w:r>
          </w:p>
        </w:tc>
        <w:tc>
          <w:tcPr>
            <w:tcW w:w="808" w:type="dxa"/>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w:t>
            </w:r>
          </w:p>
        </w:tc>
        <w:tc>
          <w:tcPr>
            <w:tcW w:w="708"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2</w:t>
            </w:r>
          </w:p>
        </w:tc>
        <w:tc>
          <w:tcPr>
            <w:tcW w:w="709" w:type="dxa"/>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746" w:type="dxa"/>
            <w:vMerge w:val="continue"/>
            <w:noWrap w:val="0"/>
            <w:vAlign w:val="center"/>
          </w:tcPr>
          <w:p>
            <w:pPr>
              <w:spacing w:line="360" w:lineRule="auto"/>
              <w:jc w:val="center"/>
              <w:rPr>
                <w:rFonts w:ascii="宋体" w:hAnsi="宋体" w:cs="宋体"/>
                <w:color w:val="000000"/>
                <w:sz w:val="24"/>
                <w:szCs w:val="24"/>
              </w:rPr>
            </w:pPr>
          </w:p>
        </w:tc>
      </w:tr>
    </w:tbl>
    <w:p>
      <w:pPr>
        <w:spacing w:line="360" w:lineRule="auto"/>
        <w:rPr>
          <w:rFonts w:ascii="宋体" w:hAnsi="宋体"/>
          <w:sz w:val="24"/>
          <w:szCs w:val="24"/>
        </w:rPr>
      </w:pPr>
    </w:p>
    <w:tbl>
      <w:tblPr>
        <w:tblStyle w:val="7"/>
        <w:tblW w:w="9041" w:type="dxa"/>
        <w:jc w:val="center"/>
        <w:tblLayout w:type="fixed"/>
        <w:tblCellMar>
          <w:top w:w="0" w:type="dxa"/>
          <w:left w:w="108" w:type="dxa"/>
          <w:bottom w:w="0" w:type="dxa"/>
          <w:right w:w="108" w:type="dxa"/>
        </w:tblCellMar>
      </w:tblPr>
      <w:tblGrid>
        <w:gridCol w:w="1054"/>
        <w:gridCol w:w="1054"/>
        <w:gridCol w:w="1184"/>
        <w:gridCol w:w="1193"/>
        <w:gridCol w:w="1372"/>
        <w:gridCol w:w="700"/>
        <w:gridCol w:w="775"/>
        <w:gridCol w:w="813"/>
        <w:gridCol w:w="896"/>
      </w:tblGrid>
      <w:tr>
        <w:tblPrEx>
          <w:tblCellMar>
            <w:top w:w="0" w:type="dxa"/>
            <w:left w:w="108" w:type="dxa"/>
            <w:bottom w:w="0" w:type="dxa"/>
            <w:right w:w="108" w:type="dxa"/>
          </w:tblCellMar>
        </w:tblPrEx>
        <w:trPr>
          <w:trHeight w:val="405" w:hRule="atLeast"/>
          <w:jc w:val="center"/>
        </w:trPr>
        <w:tc>
          <w:tcPr>
            <w:tcW w:w="9041" w:type="dxa"/>
            <w:gridSpan w:val="9"/>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4、辅助设备</w:t>
            </w:r>
          </w:p>
        </w:tc>
      </w:tr>
      <w:tr>
        <w:tblPrEx>
          <w:tblCellMar>
            <w:top w:w="0" w:type="dxa"/>
            <w:left w:w="108" w:type="dxa"/>
            <w:bottom w:w="0" w:type="dxa"/>
            <w:right w:w="108" w:type="dxa"/>
          </w:tblCellMar>
        </w:tblPrEx>
        <w:trPr>
          <w:trHeight w:val="560"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产品型号</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技术参数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次数</w:t>
            </w:r>
          </w:p>
        </w:tc>
        <w:tc>
          <w:tcPr>
            <w:tcW w:w="89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备用电源</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不间断电源</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SANTAK C3KVA或同等级别</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UPS不间断电源3000VA/2400W</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保障转播信号稳定</w:t>
            </w:r>
          </w:p>
        </w:tc>
      </w:tr>
      <w:tr>
        <w:tblPrEx>
          <w:tblCellMar>
            <w:top w:w="0" w:type="dxa"/>
            <w:left w:w="108" w:type="dxa"/>
            <w:bottom w:w="0" w:type="dxa"/>
            <w:right w:w="108" w:type="dxa"/>
          </w:tblCellMar>
        </w:tblPrEx>
        <w:trPr>
          <w:trHeight w:val="270"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线</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SDI视频传输线</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加耐美</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材</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卡农音频传输线</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加耐美</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000000"/>
                <w:sz w:val="24"/>
                <w:szCs w:val="24"/>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视频网络收发器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nippon</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630"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000000"/>
                <w:sz w:val="24"/>
                <w:szCs w:val="24"/>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供电电缆</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公牛</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3000VA/2400W220V电源稳定供给</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6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000000"/>
                <w:sz w:val="24"/>
                <w:szCs w:val="24"/>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光纤线材</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远距离视频传输专用，含千兆收发器</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Arial"/>
                <w:color w:val="000000"/>
                <w:sz w:val="24"/>
                <w:szCs w:val="24"/>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r>
    </w:tbl>
    <w:p>
      <w:pPr>
        <w:pStyle w:val="5"/>
        <w:spacing w:line="360" w:lineRule="auto"/>
        <w:ind w:left="0"/>
        <w:rPr>
          <w:rFonts w:ascii="宋体" w:hAnsi="宋体"/>
          <w:sz w:val="24"/>
          <w:szCs w:val="24"/>
        </w:rPr>
      </w:pPr>
    </w:p>
    <w:tbl>
      <w:tblPr>
        <w:tblStyle w:val="7"/>
        <w:tblW w:w="9150" w:type="dxa"/>
        <w:jc w:val="center"/>
        <w:tblLayout w:type="autofit"/>
        <w:tblCellMar>
          <w:top w:w="0" w:type="dxa"/>
          <w:left w:w="108" w:type="dxa"/>
          <w:bottom w:w="0" w:type="dxa"/>
          <w:right w:w="108" w:type="dxa"/>
        </w:tblCellMar>
      </w:tblPr>
      <w:tblGrid>
        <w:gridCol w:w="787"/>
        <w:gridCol w:w="709"/>
        <w:gridCol w:w="1559"/>
        <w:gridCol w:w="1701"/>
        <w:gridCol w:w="1410"/>
        <w:gridCol w:w="700"/>
        <w:gridCol w:w="774"/>
        <w:gridCol w:w="695"/>
        <w:gridCol w:w="815"/>
      </w:tblGrid>
      <w:tr>
        <w:trPr>
          <w:trHeight w:val="405" w:hRule="atLeast"/>
          <w:jc w:val="center"/>
        </w:trPr>
        <w:tc>
          <w:tcPr>
            <w:tcW w:w="9150" w:type="dxa"/>
            <w:gridSpan w:val="9"/>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5、无线传输系统</w:t>
            </w:r>
          </w:p>
        </w:tc>
      </w:tr>
      <w:tr>
        <w:tblPrEx>
          <w:tblCellMar>
            <w:top w:w="0" w:type="dxa"/>
            <w:left w:w="108" w:type="dxa"/>
            <w:bottom w:w="0" w:type="dxa"/>
            <w:right w:w="108" w:type="dxa"/>
          </w:tblCellMar>
        </w:tblPrEx>
        <w:trPr>
          <w:trHeight w:val="48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产品型号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技术参数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次数</w:t>
            </w:r>
          </w:p>
        </w:tc>
        <w:tc>
          <w:tcPr>
            <w:tcW w:w="81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480"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视频传输相关</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无线传输设备</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ENC1-V2编码器</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ENC1-V2编码器</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1</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815" w:type="dxa"/>
            <w:vMerge w:val="restar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Arial"/>
                <w:color w:val="000000"/>
                <w:sz w:val="24"/>
                <w:szCs w:val="24"/>
              </w:rPr>
            </w:pPr>
          </w:p>
        </w:tc>
      </w:tr>
      <w:tr>
        <w:tblPrEx>
          <w:tblCellMar>
            <w:top w:w="0" w:type="dxa"/>
            <w:left w:w="108" w:type="dxa"/>
            <w:bottom w:w="0" w:type="dxa"/>
            <w:right w:w="108" w:type="dxa"/>
          </w:tblCellMar>
        </w:tblPrEx>
        <w:trPr>
          <w:trHeight w:val="640"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远距离无线图传</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COFDM高清单兵图传系统</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COFDM高清单兵图传系统</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5</w:t>
            </w:r>
          </w:p>
        </w:tc>
        <w:tc>
          <w:tcPr>
            <w:tcW w:w="69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宋体" w:hAnsi="宋体" w:cs="Arial"/>
                <w:color w:val="000000"/>
                <w:sz w:val="24"/>
                <w:szCs w:val="24"/>
              </w:rPr>
            </w:pPr>
            <w:r>
              <w:rPr>
                <w:rFonts w:ascii="宋体" w:hAnsi="宋体" w:cs="Arial"/>
                <w:color w:val="000000"/>
                <w:kern w:val="0"/>
                <w:sz w:val="24"/>
                <w:szCs w:val="24"/>
                <w:lang w:bidi="ar"/>
              </w:rPr>
              <w:t>4</w:t>
            </w: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Arial"/>
                <w:color w:val="000000"/>
                <w:sz w:val="24"/>
                <w:szCs w:val="24"/>
              </w:rPr>
            </w:pPr>
          </w:p>
        </w:tc>
      </w:tr>
    </w:tbl>
    <w:p>
      <w:pPr>
        <w:spacing w:line="360" w:lineRule="auto"/>
        <w:rPr>
          <w:rFonts w:ascii="宋体" w:hAnsi="宋体"/>
          <w:sz w:val="24"/>
          <w:szCs w:val="24"/>
        </w:rPr>
      </w:pPr>
    </w:p>
    <w:tbl>
      <w:tblPr>
        <w:tblStyle w:val="7"/>
        <w:tblW w:w="9038" w:type="dxa"/>
        <w:jc w:val="center"/>
        <w:tblLayout w:type="autofit"/>
        <w:tblCellMar>
          <w:top w:w="0" w:type="dxa"/>
          <w:left w:w="108" w:type="dxa"/>
          <w:bottom w:w="0" w:type="dxa"/>
          <w:right w:w="108" w:type="dxa"/>
        </w:tblCellMar>
      </w:tblPr>
      <w:tblGrid>
        <w:gridCol w:w="780"/>
        <w:gridCol w:w="709"/>
        <w:gridCol w:w="4863"/>
        <w:gridCol w:w="1019"/>
        <w:gridCol w:w="851"/>
        <w:gridCol w:w="816"/>
      </w:tblGrid>
      <w:tr>
        <w:trPr>
          <w:trHeight w:val="435" w:hRule="atLeast"/>
          <w:jc w:val="center"/>
        </w:trPr>
        <w:tc>
          <w:tcPr>
            <w:tcW w:w="9038" w:type="dxa"/>
            <w:gridSpan w:val="6"/>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 xml:space="preserve">    6、演习方案手册印刷制作</w:t>
            </w:r>
          </w:p>
        </w:tc>
      </w:tr>
      <w:tr>
        <w:tblPrEx>
          <w:tblCellMar>
            <w:top w:w="0" w:type="dxa"/>
            <w:left w:w="108" w:type="dxa"/>
            <w:bottom w:w="0" w:type="dxa"/>
            <w:right w:w="108"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项目</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内容明细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81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39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设计排版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1.提炼要点整理优化形成宣传册文案；</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60" w:lineRule="auto"/>
              <w:rPr>
                <w:rFonts w:ascii="宋体" w:hAnsi="宋体" w:cs="宋体"/>
                <w:color w:val="000000"/>
                <w:sz w:val="24"/>
                <w:szCs w:val="24"/>
              </w:rPr>
            </w:pPr>
          </w:p>
        </w:tc>
      </w:tr>
      <w:tr>
        <w:tblPrEx>
          <w:tblCellMar>
            <w:top w:w="0" w:type="dxa"/>
            <w:left w:w="108" w:type="dxa"/>
            <w:bottom w:w="0" w:type="dxa"/>
            <w:right w:w="108" w:type="dxa"/>
          </w:tblCellMar>
        </w:tblPrEx>
        <w:trPr>
          <w:trHeight w:val="43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2.设计排版：按照甲方要求提供宣传册版面设计、文字及所有宣传图片的排版工作。</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（P）</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4"/>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60" w:lineRule="auto"/>
              <w:rPr>
                <w:rFonts w:ascii="宋体" w:hAnsi="宋体" w:cs="宋体"/>
                <w:color w:val="000000"/>
                <w:sz w:val="24"/>
                <w:szCs w:val="24"/>
              </w:rPr>
            </w:pPr>
          </w:p>
        </w:tc>
      </w:tr>
      <w:tr>
        <w:tblPrEx>
          <w:tblCellMar>
            <w:top w:w="0" w:type="dxa"/>
            <w:left w:w="108" w:type="dxa"/>
            <w:bottom w:w="0" w:type="dxa"/>
            <w:right w:w="108" w:type="dxa"/>
          </w:tblCellMar>
        </w:tblPrEx>
        <w:trPr>
          <w:trHeight w:val="36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印刷制作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2</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全书内页28P+封面封底4P</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册</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60" w:lineRule="auto"/>
              <w:jc w:val="left"/>
              <w:rPr>
                <w:rFonts w:ascii="宋体" w:hAnsi="宋体" w:cs="Arial"/>
                <w:color w:val="000000"/>
                <w:sz w:val="24"/>
                <w:szCs w:val="24"/>
              </w:rPr>
            </w:pPr>
          </w:p>
        </w:tc>
      </w:tr>
      <w:tr>
        <w:tblPrEx>
          <w:tblCellMar>
            <w:top w:w="0" w:type="dxa"/>
            <w:left w:w="108" w:type="dxa"/>
            <w:bottom w:w="0" w:type="dxa"/>
            <w:right w:w="108" w:type="dxa"/>
          </w:tblCellMar>
        </w:tblPrEx>
        <w:trPr>
          <w:trHeight w:val="36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（尺寸）210*285mm，竖版</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4"/>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60" w:lineRule="auto"/>
              <w:jc w:val="left"/>
              <w:rPr>
                <w:rFonts w:ascii="宋体" w:hAnsi="宋体" w:cs="Arial"/>
                <w:color w:val="000000"/>
                <w:sz w:val="24"/>
                <w:szCs w:val="24"/>
              </w:rPr>
            </w:pPr>
          </w:p>
        </w:tc>
      </w:tr>
      <w:tr>
        <w:tblPrEx>
          <w:tblCellMar>
            <w:top w:w="0" w:type="dxa"/>
            <w:left w:w="108" w:type="dxa"/>
            <w:bottom w:w="0" w:type="dxa"/>
            <w:right w:w="108" w:type="dxa"/>
          </w:tblCellMar>
        </w:tblPrEx>
        <w:trPr>
          <w:trHeight w:val="4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（工序）300g珠光纸单面印不过膜，内页200g铜版纸，四色快印</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4"/>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60" w:lineRule="auto"/>
              <w:jc w:val="left"/>
              <w:rPr>
                <w:rFonts w:ascii="宋体" w:hAnsi="宋体" w:cs="Arial"/>
                <w:color w:val="000000"/>
                <w:sz w:val="24"/>
                <w:szCs w:val="24"/>
              </w:rPr>
            </w:pPr>
          </w:p>
        </w:tc>
      </w:tr>
      <w:tr>
        <w:tblPrEx>
          <w:tblCellMar>
            <w:top w:w="0" w:type="dxa"/>
            <w:left w:w="108" w:type="dxa"/>
            <w:bottom w:w="0" w:type="dxa"/>
            <w:right w:w="108" w:type="dxa"/>
          </w:tblCellMar>
        </w:tblPrEx>
        <w:trPr>
          <w:trHeight w:val="37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b/>
                <w:bCs/>
                <w:color w:val="000000"/>
                <w:sz w:val="24"/>
                <w:szCs w:val="24"/>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（装订）无线胶装</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4"/>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60" w:lineRule="auto"/>
              <w:jc w:val="left"/>
              <w:rPr>
                <w:rFonts w:ascii="宋体" w:hAnsi="宋体" w:cs="Arial"/>
                <w:color w:val="000000"/>
                <w:sz w:val="24"/>
                <w:szCs w:val="24"/>
              </w:rPr>
            </w:pPr>
          </w:p>
        </w:tc>
      </w:tr>
    </w:tbl>
    <w:p>
      <w:pPr>
        <w:spacing w:line="360" w:lineRule="auto"/>
        <w:rPr>
          <w:rFonts w:ascii="宋体" w:hAnsi="宋体"/>
          <w:sz w:val="24"/>
          <w:szCs w:val="24"/>
        </w:rPr>
      </w:pPr>
    </w:p>
    <w:tbl>
      <w:tblPr>
        <w:tblStyle w:val="7"/>
        <w:tblW w:w="9178" w:type="dxa"/>
        <w:jc w:val="center"/>
        <w:tblLayout w:type="fixed"/>
        <w:tblCellMar>
          <w:top w:w="0" w:type="dxa"/>
          <w:left w:w="108" w:type="dxa"/>
          <w:bottom w:w="0" w:type="dxa"/>
          <w:right w:w="108" w:type="dxa"/>
        </w:tblCellMar>
      </w:tblPr>
      <w:tblGrid>
        <w:gridCol w:w="673"/>
        <w:gridCol w:w="709"/>
        <w:gridCol w:w="992"/>
        <w:gridCol w:w="1134"/>
        <w:gridCol w:w="3119"/>
        <w:gridCol w:w="709"/>
        <w:gridCol w:w="1027"/>
        <w:gridCol w:w="815"/>
      </w:tblGrid>
      <w:tr>
        <w:tblPrEx>
          <w:tblCellMar>
            <w:top w:w="0" w:type="dxa"/>
            <w:left w:w="108" w:type="dxa"/>
            <w:bottom w:w="0" w:type="dxa"/>
            <w:right w:w="108" w:type="dxa"/>
          </w:tblCellMar>
        </w:tblPrEx>
        <w:trPr>
          <w:trHeight w:val="405" w:hRule="atLeast"/>
          <w:jc w:val="center"/>
        </w:trPr>
        <w:tc>
          <w:tcPr>
            <w:tcW w:w="9178" w:type="dxa"/>
            <w:gridSpan w:val="8"/>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7、后期视频制作</w:t>
            </w:r>
          </w:p>
        </w:tc>
      </w:tr>
      <w:tr>
        <w:tblPrEx>
          <w:tblCellMar>
            <w:top w:w="0" w:type="dxa"/>
            <w:left w:w="108" w:type="dxa"/>
            <w:bottom w:w="0" w:type="dxa"/>
            <w:right w:w="108" w:type="dxa"/>
          </w:tblCellMar>
        </w:tblPrEx>
        <w:trPr>
          <w:trHeight w:val="5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产品型号</w:t>
            </w:r>
          </w:p>
        </w:tc>
        <w:tc>
          <w:tcPr>
            <w:tcW w:w="3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数量</w:t>
            </w:r>
          </w:p>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（分钟）</w:t>
            </w:r>
          </w:p>
        </w:tc>
        <w:tc>
          <w:tcPr>
            <w:tcW w:w="81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视频后期制作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后期视频制作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3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海事演练素材剪辑，活动一周内</w:t>
            </w:r>
          </w:p>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出炉3分钟活动视频，活动十天</w:t>
            </w:r>
          </w:p>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内剪辑7分钟视频</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分钟</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360" w:lineRule="auto"/>
              <w:rPr>
                <w:rFonts w:ascii="宋体" w:hAnsi="宋体" w:cs="Arial"/>
                <w:color w:val="000000"/>
                <w:sz w:val="24"/>
                <w:szCs w:val="24"/>
              </w:rPr>
            </w:pPr>
          </w:p>
        </w:tc>
      </w:tr>
    </w:tbl>
    <w:p>
      <w:pPr>
        <w:spacing w:line="360" w:lineRule="auto"/>
        <w:rPr>
          <w:rFonts w:ascii="宋体" w:hAnsi="宋体"/>
          <w:sz w:val="24"/>
          <w:szCs w:val="24"/>
        </w:rPr>
      </w:pPr>
    </w:p>
    <w:tbl>
      <w:tblPr>
        <w:tblStyle w:val="7"/>
        <w:tblW w:w="9021" w:type="dxa"/>
        <w:jc w:val="center"/>
        <w:tblLayout w:type="autofit"/>
        <w:tblCellMar>
          <w:top w:w="0" w:type="dxa"/>
          <w:left w:w="108" w:type="dxa"/>
          <w:bottom w:w="0" w:type="dxa"/>
          <w:right w:w="108" w:type="dxa"/>
        </w:tblCellMar>
      </w:tblPr>
      <w:tblGrid>
        <w:gridCol w:w="698"/>
        <w:gridCol w:w="696"/>
        <w:gridCol w:w="989"/>
        <w:gridCol w:w="1686"/>
        <w:gridCol w:w="2882"/>
        <w:gridCol w:w="741"/>
        <w:gridCol w:w="681"/>
        <w:gridCol w:w="648"/>
      </w:tblGrid>
      <w:tr>
        <w:tblPrEx>
          <w:tblCellMar>
            <w:top w:w="0" w:type="dxa"/>
            <w:left w:w="108" w:type="dxa"/>
            <w:bottom w:w="0" w:type="dxa"/>
            <w:right w:w="108" w:type="dxa"/>
          </w:tblCellMar>
        </w:tblPrEx>
        <w:trPr>
          <w:trHeight w:val="405" w:hRule="atLeast"/>
          <w:jc w:val="center"/>
        </w:trPr>
        <w:tc>
          <w:tcPr>
            <w:tcW w:w="9021" w:type="dxa"/>
            <w:gridSpan w:val="8"/>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8、演习器材、备品</w:t>
            </w:r>
          </w:p>
        </w:tc>
      </w:tr>
      <w:tr>
        <w:tblPrEx>
          <w:tblCellMar>
            <w:top w:w="0" w:type="dxa"/>
            <w:left w:w="108" w:type="dxa"/>
            <w:bottom w:w="0" w:type="dxa"/>
            <w:right w:w="108" w:type="dxa"/>
          </w:tblCellMar>
        </w:tblPrEx>
        <w:trPr>
          <w:trHeight w:val="50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产品型号</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技术参数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68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65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84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演习器材、备品</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演习器材、备品</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烟雾信号</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信号枪（弹）、红色信号、橙色信号、漂浮烟雾信号、火焰信号</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假人租赁</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假人租赁</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起火（或爆炸）</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起火（或爆炸）设备、器材</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4</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消防灭火器材</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消防灭火器材</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5</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海面溢油应急处置</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清污船舶、设备、耗材、人工等</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bl>
    <w:p>
      <w:pPr>
        <w:pStyle w:val="5"/>
        <w:spacing w:line="360" w:lineRule="auto"/>
        <w:ind w:left="0"/>
        <w:rPr>
          <w:rFonts w:ascii="宋体" w:hAnsi="宋体"/>
          <w:sz w:val="24"/>
          <w:szCs w:val="24"/>
        </w:rPr>
      </w:pPr>
    </w:p>
    <w:tbl>
      <w:tblPr>
        <w:tblStyle w:val="7"/>
        <w:tblW w:w="8986" w:type="dxa"/>
        <w:jc w:val="center"/>
        <w:tblLayout w:type="autofit"/>
        <w:tblCellMar>
          <w:top w:w="0" w:type="dxa"/>
          <w:left w:w="108" w:type="dxa"/>
          <w:bottom w:w="0" w:type="dxa"/>
          <w:right w:w="108" w:type="dxa"/>
        </w:tblCellMar>
      </w:tblPr>
      <w:tblGrid>
        <w:gridCol w:w="783"/>
        <w:gridCol w:w="567"/>
        <w:gridCol w:w="2087"/>
        <w:gridCol w:w="1262"/>
        <w:gridCol w:w="1679"/>
        <w:gridCol w:w="851"/>
        <w:gridCol w:w="906"/>
        <w:gridCol w:w="851"/>
      </w:tblGrid>
      <w:tr>
        <w:tblPrEx>
          <w:tblCellMar>
            <w:top w:w="0" w:type="dxa"/>
            <w:left w:w="108" w:type="dxa"/>
            <w:bottom w:w="0" w:type="dxa"/>
            <w:right w:w="108" w:type="dxa"/>
          </w:tblCellMar>
        </w:tblPrEx>
        <w:trPr>
          <w:trHeight w:val="405" w:hRule="atLeast"/>
          <w:jc w:val="center"/>
        </w:trPr>
        <w:tc>
          <w:tcPr>
            <w:tcW w:w="8986" w:type="dxa"/>
            <w:gridSpan w:val="8"/>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9、演习策划及导调服务</w:t>
            </w:r>
          </w:p>
        </w:tc>
      </w:tr>
      <w:tr>
        <w:tblPrEx>
          <w:tblCellMar>
            <w:top w:w="0" w:type="dxa"/>
            <w:left w:w="108" w:type="dxa"/>
            <w:bottom w:w="0" w:type="dxa"/>
            <w:right w:w="108" w:type="dxa"/>
          </w:tblCellMar>
        </w:tblPrEx>
        <w:trPr>
          <w:trHeight w:val="33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服务项</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具体内容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906"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42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演练策划</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演练整体方案策划</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份</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演练脚本策划</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份</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27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演练导调</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20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演练导调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演练导调服务</w:t>
            </w:r>
          </w:p>
        </w:tc>
        <w:tc>
          <w:tcPr>
            <w:tcW w:w="1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6个科目，按2次分项预演，1次联合预演，1次正式演练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次</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27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20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解说</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次</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3</w:t>
            </w:r>
          </w:p>
        </w:tc>
        <w:tc>
          <w:tcPr>
            <w:tcW w:w="20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导调系统</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次</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Arial"/>
                <w:b/>
                <w:bCs/>
                <w:color w:val="000000"/>
                <w:sz w:val="24"/>
                <w:szCs w:val="24"/>
              </w:rPr>
            </w:pPr>
          </w:p>
        </w:tc>
      </w:tr>
    </w:tbl>
    <w:p>
      <w:pPr>
        <w:spacing w:line="360" w:lineRule="auto"/>
        <w:rPr>
          <w:rFonts w:ascii="宋体" w:hAnsi="宋体"/>
          <w:sz w:val="24"/>
          <w:szCs w:val="24"/>
        </w:rPr>
      </w:pPr>
    </w:p>
    <w:tbl>
      <w:tblPr>
        <w:tblStyle w:val="7"/>
        <w:tblW w:w="8978" w:type="dxa"/>
        <w:jc w:val="center"/>
        <w:tblLayout w:type="autofit"/>
        <w:tblCellMar>
          <w:top w:w="0" w:type="dxa"/>
          <w:left w:w="108" w:type="dxa"/>
          <w:bottom w:w="0" w:type="dxa"/>
          <w:right w:w="108" w:type="dxa"/>
        </w:tblCellMar>
      </w:tblPr>
      <w:tblGrid>
        <w:gridCol w:w="615"/>
        <w:gridCol w:w="709"/>
        <w:gridCol w:w="1276"/>
        <w:gridCol w:w="1275"/>
        <w:gridCol w:w="1646"/>
        <w:gridCol w:w="700"/>
        <w:gridCol w:w="1192"/>
        <w:gridCol w:w="708"/>
        <w:gridCol w:w="857"/>
      </w:tblGrid>
      <w:tr>
        <w:tblPrEx>
          <w:tblCellMar>
            <w:top w:w="0" w:type="dxa"/>
            <w:left w:w="108" w:type="dxa"/>
            <w:bottom w:w="0" w:type="dxa"/>
            <w:right w:w="108" w:type="dxa"/>
          </w:tblCellMar>
        </w:tblPrEx>
        <w:trPr>
          <w:trHeight w:val="405" w:hRule="atLeast"/>
          <w:jc w:val="center"/>
        </w:trPr>
        <w:tc>
          <w:tcPr>
            <w:tcW w:w="8978" w:type="dxa"/>
            <w:gridSpan w:val="9"/>
            <w:tcBorders>
              <w:top w:val="single" w:color="000000" w:sz="4" w:space="0"/>
              <w:left w:val="single" w:color="000000" w:sz="4" w:space="0"/>
              <w:bottom w:val="single" w:color="000000" w:sz="4" w:space="0"/>
              <w:right w:val="single" w:color="000000" w:sz="4" w:space="0"/>
            </w:tcBorders>
            <w:shd w:val="clear" w:color="auto" w:fill="305496"/>
            <w:noWrap w:val="0"/>
            <w:vAlign w:val="center"/>
          </w:tcPr>
          <w:p>
            <w:pPr>
              <w:widowControl/>
              <w:spacing w:line="360" w:lineRule="auto"/>
              <w:jc w:val="center"/>
              <w:textAlignment w:val="center"/>
              <w:rPr>
                <w:rFonts w:ascii="宋体" w:hAnsi="宋体" w:cs="宋体"/>
                <w:b/>
                <w:bCs/>
                <w:color w:val="FFFFFF"/>
                <w:sz w:val="24"/>
                <w:szCs w:val="24"/>
              </w:rPr>
            </w:pPr>
            <w:r>
              <w:rPr>
                <w:rFonts w:hint="eastAsia" w:ascii="宋体" w:hAnsi="宋体" w:cs="宋体"/>
                <w:b/>
                <w:bCs/>
                <w:color w:val="FFFFFF"/>
                <w:kern w:val="0"/>
                <w:sz w:val="24"/>
                <w:szCs w:val="24"/>
                <w:lang w:bidi="ar"/>
              </w:rPr>
              <w:t>10、后勤保障及其他费用</w:t>
            </w:r>
          </w:p>
        </w:tc>
      </w:tr>
      <w:tr>
        <w:tblPrEx>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内容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产品型号</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技术参数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7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天数</w:t>
            </w:r>
          </w:p>
        </w:tc>
        <w:tc>
          <w:tcPr>
            <w:tcW w:w="85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42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其他</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住宿费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工作人员差旅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工作人员、记者食宿、交通</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85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ascii="宋体" w:hAnsi="宋体" w:cs="宋体"/>
                <w:b/>
                <w:bCs/>
                <w:color w:val="000000"/>
                <w:sz w:val="24"/>
                <w:szCs w:val="24"/>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饮用水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饮用水</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饮用水</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箱</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857" w:type="dxa"/>
            <w:tcBorders>
              <w:top w:val="single" w:color="000000" w:sz="4" w:space="0"/>
              <w:left w:val="single" w:color="auto" w:sz="4" w:space="0"/>
              <w:bottom w:val="single" w:color="000000" w:sz="4" w:space="0"/>
              <w:right w:val="single" w:color="000000" w:sz="4" w:space="0"/>
            </w:tcBorders>
            <w:noWrap w:val="0"/>
            <w:vAlign w:val="bottom"/>
          </w:tcPr>
          <w:p>
            <w:pPr>
              <w:spacing w:line="360" w:lineRule="auto"/>
              <w:jc w:val="center"/>
              <w:rPr>
                <w:rFonts w:ascii="宋体" w:hAnsi="宋体" w:cs="宋体"/>
                <w:b/>
                <w:bCs/>
                <w:color w:val="000000"/>
                <w:sz w:val="24"/>
                <w:szCs w:val="24"/>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急救药箱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急救药箱</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急救药箱</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箱</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85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ascii="宋体" w:hAnsi="宋体" w:cs="宋体"/>
                <w:b/>
                <w:bCs/>
                <w:color w:val="000000"/>
                <w:sz w:val="24"/>
                <w:szCs w:val="24"/>
              </w:rPr>
            </w:pPr>
          </w:p>
        </w:tc>
      </w:tr>
      <w:tr>
        <w:tblPrEx>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望远镜</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高倍望远镜</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前排主要领导望远镜</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85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b/>
                <w:bCs/>
                <w:color w:val="000000"/>
                <w:sz w:val="24"/>
                <w:szCs w:val="24"/>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雨伞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雨伞</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雨伞</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把</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85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ascii="宋体" w:hAnsi="宋体" w:cs="宋体"/>
                <w:b/>
                <w:bCs/>
                <w:color w:val="000000"/>
                <w:sz w:val="24"/>
                <w:szCs w:val="24"/>
              </w:rPr>
            </w:pPr>
          </w:p>
        </w:tc>
      </w:tr>
      <w:tr>
        <w:tblPrEx>
          <w:tblCellMar>
            <w:top w:w="0" w:type="dxa"/>
            <w:left w:w="108" w:type="dxa"/>
            <w:bottom w:w="0" w:type="dxa"/>
            <w:right w:w="108" w:type="dxa"/>
          </w:tblCellMar>
        </w:tblPrEx>
        <w:trPr>
          <w:trHeight w:val="3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Arial"/>
                <w:b/>
                <w:bCs/>
                <w:color w:val="000000"/>
                <w:sz w:val="24"/>
                <w:szCs w:val="24"/>
              </w:rPr>
            </w:pPr>
            <w:r>
              <w:rPr>
                <w:rFonts w:ascii="宋体" w:hAnsi="宋体" w:cs="Arial"/>
                <w:b/>
                <w:bCs/>
                <w:color w:val="000000"/>
                <w:kern w:val="0"/>
                <w:sz w:val="24"/>
                <w:szCs w:val="24"/>
                <w:lang w:bidi="ar"/>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遮阳帽</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遮阳帽</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遮阳帽</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顶</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4"/>
                <w:szCs w:val="24"/>
              </w:rPr>
            </w:pPr>
          </w:p>
        </w:tc>
        <w:tc>
          <w:tcPr>
            <w:tcW w:w="85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ascii="宋体" w:hAnsi="宋体" w:cs="宋体"/>
                <w:b/>
                <w:bCs/>
                <w:color w:val="000000"/>
                <w:sz w:val="24"/>
                <w:szCs w:val="24"/>
              </w:rPr>
            </w:pPr>
          </w:p>
        </w:tc>
      </w:tr>
    </w:tbl>
    <w:p>
      <w:pPr>
        <w:spacing w:line="360" w:lineRule="auto"/>
        <w:outlineLvl w:val="1"/>
        <w:rPr>
          <w:rFonts w:ascii="宋体" w:hAnsi="宋体" w:cs="Tahoma"/>
          <w:b/>
          <w:sz w:val="24"/>
          <w:szCs w:val="24"/>
        </w:rPr>
      </w:pPr>
      <w:bookmarkStart w:id="116" w:name="_Toc149248230"/>
      <w:r>
        <w:rPr>
          <w:rFonts w:hint="eastAsia" w:ascii="宋体" w:hAnsi="宋体" w:cs="Tahoma"/>
          <w:b/>
          <w:sz w:val="24"/>
          <w:szCs w:val="24"/>
        </w:rPr>
        <w:t>第五条  参演单位</w:t>
      </w:r>
      <w:bookmarkEnd w:id="116"/>
    </w:p>
    <w:p>
      <w:pPr>
        <w:spacing w:line="360" w:lineRule="auto"/>
        <w:ind w:firstLine="480" w:firstLineChars="200"/>
        <w:rPr>
          <w:rFonts w:ascii="宋体" w:hAnsi="宋体"/>
          <w:color w:val="000000"/>
          <w:sz w:val="24"/>
          <w:szCs w:val="24"/>
        </w:rPr>
      </w:pPr>
      <w:r>
        <w:rPr>
          <w:rFonts w:hint="eastAsia" w:ascii="宋体" w:hAnsi="宋体" w:cs="Tahoma"/>
          <w:bCs/>
          <w:sz w:val="24"/>
          <w:szCs w:val="24"/>
        </w:rPr>
        <w:t>广东省应急管理厅、广东省海上搜救中心、广东海事局、阳江市人民政府办公室、阳江市海上搜救中心、阳江海事局、阳江市农业农村局、南海救助局、</w:t>
      </w:r>
      <w:r>
        <w:rPr>
          <w:rFonts w:hint="eastAsia" w:ascii="宋体" w:hAnsi="宋体"/>
          <w:bCs/>
          <w:color w:val="000000"/>
          <w:sz w:val="24"/>
          <w:szCs w:val="24"/>
        </w:rPr>
        <w:t>阳江</w:t>
      </w:r>
      <w:r>
        <w:rPr>
          <w:rFonts w:hint="eastAsia" w:ascii="宋体" w:hAnsi="宋体" w:cs="Tahoma"/>
          <w:bCs/>
          <w:sz w:val="24"/>
          <w:szCs w:val="24"/>
        </w:rPr>
        <w:t>市应急管理局、阳江海警局、阳江市消防救援支队、阳江市卫生健康局、阳江市气象局、阳江市生态环境局、阳江市公安局等。</w:t>
      </w:r>
    </w:p>
    <w:p>
      <w:pPr>
        <w:spacing w:line="360" w:lineRule="auto"/>
        <w:outlineLvl w:val="1"/>
        <w:rPr>
          <w:rFonts w:ascii="宋体" w:hAnsi="宋体" w:cs="Tahoma"/>
          <w:b/>
          <w:sz w:val="24"/>
          <w:szCs w:val="24"/>
        </w:rPr>
      </w:pPr>
      <w:bookmarkStart w:id="117" w:name="_Toc149248231"/>
      <w:r>
        <w:rPr>
          <w:rFonts w:hint="eastAsia" w:ascii="宋体" w:hAnsi="宋体" w:cs="Tahoma"/>
          <w:b/>
          <w:sz w:val="24"/>
          <w:szCs w:val="24"/>
        </w:rPr>
        <w:t>第六条  演习评估</w:t>
      </w:r>
      <w:bookmarkEnd w:id="117"/>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应急演习结束后，在观摩现场，专家根据国家标准和规章制定演习评估方案评估本次演习发现的应急预案、应急组织、应急人员、应急机制、应急保障等方面存在的问题和不足，并发表评估意见和建议。乙方应做好相关记录及总结，并报于甲方作为验收材料之一。</w:t>
      </w:r>
    </w:p>
    <w:p>
      <w:pPr>
        <w:spacing w:line="360" w:lineRule="auto"/>
        <w:outlineLvl w:val="1"/>
        <w:rPr>
          <w:rFonts w:ascii="宋体" w:hAnsi="宋体" w:cs="Tahoma"/>
          <w:b/>
          <w:sz w:val="24"/>
          <w:szCs w:val="24"/>
        </w:rPr>
      </w:pPr>
      <w:bookmarkStart w:id="118" w:name="_Toc149248232"/>
      <w:r>
        <w:rPr>
          <w:rFonts w:hint="eastAsia" w:ascii="宋体" w:hAnsi="宋体" w:cs="Tahoma"/>
          <w:b/>
          <w:sz w:val="24"/>
          <w:szCs w:val="24"/>
        </w:rPr>
        <w:t>第七条  演习注意事项</w:t>
      </w:r>
      <w:bookmarkEnd w:id="118"/>
    </w:p>
    <w:p>
      <w:pPr>
        <w:spacing w:line="360" w:lineRule="auto"/>
        <w:ind w:firstLine="480" w:firstLineChars="200"/>
        <w:rPr>
          <w:rFonts w:ascii="宋体" w:hAnsi="宋体" w:cs="Tahoma"/>
          <w:bCs/>
          <w:sz w:val="24"/>
          <w:szCs w:val="24"/>
        </w:rPr>
      </w:pPr>
      <w:r>
        <w:rPr>
          <w:rFonts w:hint="eastAsia" w:ascii="宋体" w:hAnsi="宋体" w:cs="Tahoma"/>
          <w:bCs/>
          <w:sz w:val="24"/>
          <w:szCs w:val="24"/>
        </w:rPr>
        <w:t>（一）所有参与演习的人员必须穿上救生衣；</w:t>
      </w:r>
    </w:p>
    <w:p>
      <w:pPr>
        <w:spacing w:line="360" w:lineRule="auto"/>
        <w:ind w:firstLine="480" w:firstLineChars="200"/>
        <w:rPr>
          <w:rFonts w:ascii="宋体" w:hAnsi="宋体" w:cs="Tahoma"/>
          <w:bCs/>
          <w:sz w:val="24"/>
          <w:szCs w:val="24"/>
        </w:rPr>
      </w:pPr>
      <w:r>
        <w:rPr>
          <w:rFonts w:hint="eastAsia" w:ascii="宋体" w:hAnsi="宋体" w:cs="Tahoma"/>
          <w:bCs/>
          <w:sz w:val="24"/>
          <w:szCs w:val="24"/>
        </w:rPr>
        <w:t>（二）直升飞机、救助船靠近落水失踪人员时保持安全距离，通过各种方式将落水失踪人员拉抵舷边，然后救上船。</w:t>
      </w:r>
    </w:p>
    <w:p>
      <w:pPr>
        <w:spacing w:line="360" w:lineRule="auto"/>
        <w:ind w:firstLine="480" w:firstLineChars="200"/>
        <w:rPr>
          <w:rFonts w:ascii="宋体" w:hAnsi="宋体" w:cs="Tahoma"/>
          <w:bCs/>
          <w:sz w:val="24"/>
          <w:szCs w:val="24"/>
        </w:rPr>
      </w:pPr>
      <w:r>
        <w:rPr>
          <w:rFonts w:hint="eastAsia" w:ascii="宋体" w:hAnsi="宋体" w:cs="Tahoma"/>
          <w:bCs/>
          <w:sz w:val="24"/>
          <w:szCs w:val="24"/>
        </w:rPr>
        <w:t>（三）室外作业人员必须穿戴工作服、安全帽、防滑鞋等个人安全防护用具；</w:t>
      </w:r>
    </w:p>
    <w:p>
      <w:pPr>
        <w:spacing w:line="360" w:lineRule="auto"/>
        <w:ind w:firstLine="480" w:firstLineChars="200"/>
        <w:rPr>
          <w:rFonts w:ascii="宋体" w:hAnsi="宋体" w:cs="Tahoma"/>
          <w:bCs/>
          <w:sz w:val="24"/>
          <w:szCs w:val="24"/>
        </w:rPr>
      </w:pPr>
      <w:r>
        <w:rPr>
          <w:rFonts w:hint="eastAsia" w:ascii="宋体" w:hAnsi="宋体" w:cs="Tahoma"/>
          <w:bCs/>
          <w:sz w:val="24"/>
          <w:szCs w:val="24"/>
        </w:rPr>
        <w:t>（四）演习前，各参演单位、船艇及有关人员要熟悉本演习方案，以高度负责的态度做好演习准备。</w:t>
      </w:r>
    </w:p>
    <w:p>
      <w:pPr>
        <w:spacing w:line="360" w:lineRule="auto"/>
        <w:ind w:firstLine="480" w:firstLineChars="200"/>
        <w:rPr>
          <w:rFonts w:ascii="宋体" w:hAnsi="宋体" w:cs="Tahoma"/>
          <w:bCs/>
          <w:sz w:val="24"/>
          <w:szCs w:val="24"/>
        </w:rPr>
      </w:pPr>
      <w:r>
        <w:rPr>
          <w:rFonts w:hint="eastAsia" w:ascii="宋体" w:hAnsi="宋体" w:cs="Tahoma"/>
          <w:bCs/>
          <w:sz w:val="24"/>
          <w:szCs w:val="24"/>
        </w:rPr>
        <w:t>（五）参演前，各参演力量要对本船、艇以及相关属具进行全面检查；保证船艇各项设备的技术性能状态良好，尤其是本次演习中需要使用的通讯设备、消防救生设备和器材等，并保持船艇外貌清洁美观。</w:t>
      </w:r>
    </w:p>
    <w:p>
      <w:pPr>
        <w:spacing w:line="360" w:lineRule="auto"/>
        <w:ind w:firstLine="480" w:firstLineChars="200"/>
        <w:rPr>
          <w:rFonts w:ascii="宋体" w:hAnsi="宋体" w:cs="Tahoma"/>
          <w:bCs/>
          <w:sz w:val="24"/>
          <w:szCs w:val="24"/>
        </w:rPr>
      </w:pPr>
      <w:r>
        <w:rPr>
          <w:rFonts w:hint="eastAsia" w:ascii="宋体" w:hAnsi="宋体" w:cs="Tahoma"/>
          <w:bCs/>
          <w:sz w:val="24"/>
          <w:szCs w:val="24"/>
        </w:rPr>
        <w:t>（六）演习过程中，各参演力量要严格接受现场指挥单位的统一指挥和协调要求；各参演船艇的船长应与相关协调人（组）积极配合，共同完成演习任务。</w:t>
      </w:r>
    </w:p>
    <w:p>
      <w:pPr>
        <w:spacing w:line="360" w:lineRule="auto"/>
        <w:ind w:firstLine="480" w:firstLineChars="200"/>
        <w:rPr>
          <w:rFonts w:ascii="宋体" w:hAnsi="宋体" w:cs="Tahoma"/>
          <w:bCs/>
          <w:sz w:val="24"/>
          <w:szCs w:val="24"/>
        </w:rPr>
      </w:pPr>
      <w:r>
        <w:rPr>
          <w:rFonts w:hint="eastAsia" w:ascii="宋体" w:hAnsi="宋体" w:cs="Tahoma"/>
          <w:bCs/>
          <w:sz w:val="24"/>
          <w:szCs w:val="24"/>
        </w:rPr>
        <w:t>（七）演习过程中，各参演力量要严格遵照演习程序和安全操作规范，行动迅速准确，相互间的配合、协调要准确无误。</w:t>
      </w:r>
    </w:p>
    <w:p>
      <w:pPr>
        <w:spacing w:line="360" w:lineRule="auto"/>
        <w:ind w:firstLine="480" w:firstLineChars="200"/>
        <w:rPr>
          <w:rFonts w:ascii="宋体" w:hAnsi="宋体" w:cs="Tahoma"/>
          <w:bCs/>
          <w:sz w:val="24"/>
          <w:szCs w:val="24"/>
        </w:rPr>
      </w:pPr>
      <w:r>
        <w:rPr>
          <w:rFonts w:hint="eastAsia" w:ascii="宋体" w:hAnsi="宋体" w:cs="Tahoma"/>
          <w:bCs/>
          <w:sz w:val="24"/>
          <w:szCs w:val="24"/>
        </w:rPr>
        <w:t>（八）现场指挥、总协调人和各参演力量之间以及相关协调人要按照通讯规定保持通讯畅通。</w:t>
      </w:r>
    </w:p>
    <w:p>
      <w:pPr>
        <w:spacing w:line="360" w:lineRule="auto"/>
        <w:ind w:firstLine="480" w:firstLineChars="200"/>
        <w:rPr>
          <w:rFonts w:ascii="宋体" w:hAnsi="宋体" w:cs="Tahoma"/>
          <w:bCs/>
          <w:sz w:val="24"/>
          <w:szCs w:val="24"/>
        </w:rPr>
      </w:pPr>
      <w:r>
        <w:rPr>
          <w:rFonts w:hint="eastAsia" w:ascii="宋体" w:hAnsi="宋体" w:cs="Tahoma"/>
          <w:bCs/>
          <w:sz w:val="24"/>
          <w:szCs w:val="24"/>
        </w:rPr>
        <w:t>（九）演习期间，严禁无关人员登船。</w:t>
      </w:r>
    </w:p>
    <w:p>
      <w:pPr>
        <w:spacing w:line="360" w:lineRule="auto"/>
        <w:ind w:firstLine="480" w:firstLineChars="200"/>
        <w:rPr>
          <w:rFonts w:ascii="宋体" w:hAnsi="宋体" w:cs="Tahoma"/>
          <w:bCs/>
          <w:sz w:val="24"/>
          <w:szCs w:val="24"/>
        </w:rPr>
      </w:pPr>
      <w:r>
        <w:rPr>
          <w:rFonts w:hint="eastAsia" w:ascii="宋体" w:hAnsi="宋体" w:cs="Tahoma"/>
          <w:bCs/>
          <w:sz w:val="24"/>
          <w:szCs w:val="24"/>
        </w:rPr>
        <w:t>（十）观摩台需要配备足够数量的望远镜、VHF、对讲机。现场指挥与各船艇的通信频道为VHF77频道，各参演船艇应保持VHF77频道的有效守听；各单位协调人应保持手机处于畅通状态；各单位协调人与各自的参演船艇之间保持通信渠道畅通。</w:t>
      </w:r>
    </w:p>
    <w:p>
      <w:pPr>
        <w:spacing w:line="360" w:lineRule="auto"/>
        <w:ind w:firstLine="480" w:firstLineChars="200"/>
        <w:rPr>
          <w:rFonts w:ascii="宋体" w:hAnsi="宋体" w:cs="Tahoma"/>
          <w:bCs/>
          <w:sz w:val="24"/>
          <w:szCs w:val="24"/>
        </w:rPr>
      </w:pPr>
      <w:r>
        <w:rPr>
          <w:rFonts w:hint="eastAsia" w:ascii="宋体" w:hAnsi="宋体" w:cs="Tahoma"/>
          <w:bCs/>
          <w:sz w:val="24"/>
          <w:szCs w:val="24"/>
        </w:rPr>
        <w:t>（十一）演习期间，如辖区发生海上突发事件，各参演船舶应听从阳江市海上搜救中心及现场指挥的组织协调（以呼叫三次“这不是演习”为指令），立即转入真实险情救助。</w:t>
      </w:r>
    </w:p>
    <w:p>
      <w:pPr>
        <w:spacing w:line="360" w:lineRule="auto"/>
        <w:outlineLvl w:val="1"/>
        <w:rPr>
          <w:rFonts w:ascii="宋体" w:hAnsi="宋体"/>
          <w:color w:val="000000"/>
          <w:sz w:val="24"/>
          <w:szCs w:val="24"/>
        </w:rPr>
      </w:pPr>
      <w:bookmarkStart w:id="119" w:name="_Toc149248233"/>
      <w:r>
        <w:rPr>
          <w:rFonts w:hint="eastAsia" w:ascii="宋体" w:hAnsi="宋体" w:cs="Tahoma"/>
          <w:b/>
          <w:sz w:val="24"/>
          <w:szCs w:val="24"/>
        </w:rPr>
        <w:t>第八条  人员要求</w:t>
      </w:r>
      <w:bookmarkEnd w:id="119"/>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（一）人员配置要求</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乙方应为本项目提供专职服务人员。项目负责人应具有3年（含）或以上同类项目工作经验。乙方应保持项目组成员的稳定性，如需更换人员的，须提前征得甲方同意后方可实施。</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（二）服务响应要求</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乙方应保持24小时通讯联系，在</w:t>
      </w:r>
      <w:r>
        <w:rPr>
          <w:rFonts w:ascii="宋体" w:hAnsi="宋体"/>
          <w:color w:val="000000"/>
          <w:sz w:val="24"/>
          <w:szCs w:val="24"/>
        </w:rPr>
        <w:t>接到甲方通知后，</w:t>
      </w:r>
      <w:r>
        <w:rPr>
          <w:rFonts w:hint="eastAsia" w:ascii="宋体" w:hAnsi="宋体"/>
          <w:color w:val="000000"/>
          <w:sz w:val="24"/>
          <w:szCs w:val="24"/>
        </w:rPr>
        <w:t>乙方应在1小时内（含）及时响应甲方的需求并到达现场为甲方提供技术解决方案，做好多方关系的组织协调工作。</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（三）人员服务要求</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乙方须为本项目提供视频拍摄和直播服务，内容包括但不限于拍摄演练全过程、拍摄串场视频、提供演练各会场之间的视频直播服务、提供导播设备和其他相关技术支持、提供直播相关的其他服务等，其一切成果归甲方所有。</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乙方应保证本项目的技术、服务成果或其任何一部分不会产生因第三方提出侵犯其专利权、商标权或其他合法权利而引起的法律和经济纠纷（包括诉讼方式和非诉讼方式）；如因第三方提出其专利权、商标权或其他知识产权的侵权之诉，则由乙方负责处理，一切法律责任也由乙方承担。如甲方因此遭受损失的，乙方需赔偿甲方的全部损失，包括但不限于索赔、罚款、诉讼费、律师费、差旅费、鉴定费、评估费等。</w:t>
      </w:r>
    </w:p>
    <w:p>
      <w:pPr>
        <w:spacing w:line="360" w:lineRule="auto"/>
        <w:outlineLvl w:val="1"/>
        <w:rPr>
          <w:rFonts w:ascii="宋体" w:hAnsi="宋体" w:cs="Tahoma"/>
          <w:b/>
          <w:sz w:val="24"/>
          <w:szCs w:val="24"/>
        </w:rPr>
      </w:pPr>
      <w:bookmarkStart w:id="120" w:name="_Toc149248234"/>
      <w:r>
        <w:rPr>
          <w:rFonts w:hint="eastAsia" w:ascii="宋体" w:hAnsi="宋体" w:cs="Tahoma"/>
          <w:b/>
          <w:sz w:val="24"/>
          <w:szCs w:val="24"/>
        </w:rPr>
        <w:t>第九条  工作要求</w:t>
      </w:r>
      <w:bookmarkEnd w:id="120"/>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（一）本项目的乙方为甲方提供本次演习活动的整体统筹服务工作，乙方应接受甲方及有关统筹单位就活动实施的组织协调，服从总体安排。</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按照</w:t>
      </w:r>
      <w:r>
        <w:rPr>
          <w:rFonts w:hint="eastAsia" w:ascii="宋体" w:hAnsi="宋体"/>
          <w:color w:val="000000"/>
          <w:sz w:val="24"/>
          <w:szCs w:val="24"/>
        </w:rPr>
        <w:t>甲方</w:t>
      </w:r>
      <w:r>
        <w:rPr>
          <w:rFonts w:ascii="宋体" w:hAnsi="宋体"/>
          <w:color w:val="000000"/>
          <w:sz w:val="24"/>
          <w:szCs w:val="24"/>
        </w:rPr>
        <w:t>关于本次演习的有关要求</w:t>
      </w:r>
      <w:r>
        <w:rPr>
          <w:rFonts w:hint="eastAsia" w:ascii="宋体" w:hAnsi="宋体"/>
          <w:color w:val="000000"/>
          <w:sz w:val="24"/>
          <w:szCs w:val="24"/>
        </w:rPr>
        <w:t>，在</w:t>
      </w:r>
      <w:r>
        <w:rPr>
          <w:rFonts w:ascii="宋体" w:hAnsi="宋体"/>
          <w:color w:val="000000"/>
          <w:sz w:val="24"/>
          <w:szCs w:val="24"/>
        </w:rPr>
        <w:t>演习期间做好各类保障工作和服务措施。</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（三）乙方需结合本次演习情况提供详细的策划方案，包括可行性活动方案、执行方案、经费预算等，并对所提供的相关内容、文件的真实性、有效性负责，并在活动开展前交由甲方确定后，负责具体实施。</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（四）演习现场要求要有清晰的指引牌指示牌，活动路线图，乙方须布置演习现场，营造氛围。</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（五）甲方有权对项目实施情况进行跟踪、监督并提出相关改进建议。如甲方各相关部门对演习总体方案、各行动组方案、图文、视频资料提出修改意见，乙方需负责进行补充修改。</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（六）乙方必须负责完成本项目内容有关的一切事宜，包括但不限于演习策划、宣传、人员组织、布场所需物料购置租赁、活动场地布置及撤场、搭建临时场所及撤场、工作人员的提供等。</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（七）乙方须与甲方保持密切联系，按甲方确定的进度表执行，配合甲方提供场地等相关审批材料，经甲方批准后方可开展工作。</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八）由于本项目时间紧，任务重，要求乙方在服务地点进行驻点服务，协助甲方进行现场布置工作，保障本次演习的顺利进行。驻点所涉及的食宿和人员费用等一切开销包含在本项目服务费费用，甲方不再另行支付。</w:t>
      </w:r>
    </w:p>
    <w:p>
      <w:pPr>
        <w:spacing w:line="360" w:lineRule="auto"/>
        <w:outlineLvl w:val="1"/>
        <w:rPr>
          <w:rFonts w:ascii="宋体" w:hAnsi="宋体" w:cs="Tahoma"/>
          <w:b/>
          <w:sz w:val="24"/>
          <w:szCs w:val="24"/>
        </w:rPr>
      </w:pPr>
      <w:bookmarkStart w:id="121" w:name="_Toc149248235"/>
      <w:r>
        <w:rPr>
          <w:rFonts w:hint="eastAsia" w:ascii="宋体" w:hAnsi="宋体" w:cs="Tahoma"/>
          <w:b/>
          <w:sz w:val="24"/>
          <w:szCs w:val="24"/>
        </w:rPr>
        <w:t>第十条  验收要求</w:t>
      </w:r>
      <w:bookmarkEnd w:id="121"/>
    </w:p>
    <w:p>
      <w:pPr>
        <w:spacing w:line="360" w:lineRule="auto"/>
        <w:ind w:firstLine="480" w:firstLineChars="200"/>
        <w:rPr>
          <w:rFonts w:ascii="宋体" w:hAnsi="宋体" w:cs="Tahoma"/>
          <w:bCs/>
          <w:sz w:val="24"/>
          <w:szCs w:val="24"/>
        </w:rPr>
      </w:pPr>
      <w:bookmarkStart w:id="122" w:name="_Toc149248236"/>
      <w:r>
        <w:rPr>
          <w:rFonts w:hint="eastAsia" w:ascii="宋体" w:hAnsi="宋体" w:cs="Tahoma"/>
          <w:bCs/>
          <w:sz w:val="24"/>
          <w:szCs w:val="24"/>
        </w:rPr>
        <w:t>（一）本项目</w:t>
      </w:r>
      <w:r>
        <w:rPr>
          <w:rFonts w:ascii="宋体" w:hAnsi="宋体" w:cs="Tahoma"/>
          <w:bCs/>
          <w:sz w:val="24"/>
          <w:szCs w:val="24"/>
        </w:rPr>
        <w:t>结束后</w:t>
      </w:r>
      <w:r>
        <w:rPr>
          <w:rFonts w:hint="eastAsia" w:ascii="宋体" w:hAnsi="宋体" w:cs="Tahoma"/>
          <w:bCs/>
          <w:sz w:val="24"/>
          <w:szCs w:val="24"/>
        </w:rPr>
        <w:t>，</w:t>
      </w:r>
      <w:r>
        <w:rPr>
          <w:rFonts w:ascii="宋体" w:hAnsi="宋体" w:cs="Tahoma"/>
          <w:bCs/>
          <w:sz w:val="24"/>
          <w:szCs w:val="24"/>
        </w:rPr>
        <w:t>乙方须向甲方提供本项目的</w:t>
      </w:r>
      <w:r>
        <w:rPr>
          <w:rFonts w:hint="eastAsia" w:ascii="宋体" w:hAnsi="宋体" w:cs="Tahoma"/>
          <w:bCs/>
          <w:sz w:val="24"/>
          <w:szCs w:val="24"/>
        </w:rPr>
        <w:t>演习后制作汇编的图片、视频、文字等资料。</w:t>
      </w:r>
    </w:p>
    <w:p>
      <w:pPr>
        <w:spacing w:line="360" w:lineRule="auto"/>
        <w:ind w:firstLine="480" w:firstLineChars="200"/>
        <w:rPr>
          <w:rFonts w:ascii="宋体" w:hAnsi="宋体" w:cs="Tahoma"/>
          <w:bCs/>
          <w:sz w:val="24"/>
          <w:szCs w:val="24"/>
        </w:rPr>
      </w:pPr>
      <w:r>
        <w:rPr>
          <w:rFonts w:hint="eastAsia" w:ascii="宋体" w:hAnsi="宋体" w:cs="Tahoma"/>
          <w:bCs/>
          <w:sz w:val="24"/>
          <w:szCs w:val="24"/>
        </w:rPr>
        <w:t>（二）甲方根据乙方提供的演习总结报告和照片图册、视频等资料，在乙方提出的验收申请后7日内组织履约验收，如验收不通过，成交供应商须配合整改直至验收通过。</w:t>
      </w:r>
    </w:p>
    <w:p>
      <w:pPr>
        <w:spacing w:line="360" w:lineRule="auto"/>
        <w:outlineLvl w:val="1"/>
        <w:rPr>
          <w:rFonts w:ascii="宋体" w:hAnsi="宋体" w:cs="Tahoma"/>
          <w:b/>
          <w:sz w:val="24"/>
          <w:szCs w:val="24"/>
        </w:rPr>
      </w:pPr>
      <w:r>
        <w:rPr>
          <w:rFonts w:hint="eastAsia" w:ascii="宋体" w:hAnsi="宋体" w:cs="Tahoma"/>
          <w:b/>
          <w:sz w:val="24"/>
          <w:szCs w:val="24"/>
        </w:rPr>
        <w:t>第十一条  付款方式</w:t>
      </w:r>
      <w:bookmarkEnd w:id="122"/>
    </w:p>
    <w:p>
      <w:pPr>
        <w:tabs>
          <w:tab w:val="left" w:pos="709"/>
        </w:tabs>
        <w:spacing w:line="360" w:lineRule="auto"/>
        <w:ind w:firstLine="420"/>
        <w:rPr>
          <w:rFonts w:ascii="宋体" w:hAnsi="宋体"/>
          <w:color w:val="000000"/>
          <w:sz w:val="24"/>
          <w:szCs w:val="24"/>
        </w:rPr>
      </w:pPr>
      <w:r>
        <w:rPr>
          <w:rFonts w:hint="eastAsia" w:ascii="宋体" w:hAnsi="宋体" w:cs="宋体"/>
          <w:color w:val="000000"/>
          <w:sz w:val="24"/>
          <w:szCs w:val="24"/>
        </w:rPr>
        <w:t>（一）</w:t>
      </w:r>
      <w:r>
        <w:rPr>
          <w:rFonts w:hint="eastAsia" w:ascii="宋体" w:hAnsi="宋体"/>
          <w:color w:val="000000"/>
          <w:sz w:val="24"/>
          <w:szCs w:val="24"/>
        </w:rPr>
        <w:t>在签订合同后5个工作日内甲方向乙方支付合同总金额的</w:t>
      </w:r>
      <w:r>
        <w:rPr>
          <w:rFonts w:hint="eastAsia" w:ascii="宋体" w:hAnsi="宋体"/>
          <w:color w:val="000000"/>
          <w:sz w:val="24"/>
          <w:szCs w:val="24"/>
          <w:lang w:val="en-US" w:eastAsia="zh-CN"/>
        </w:rPr>
        <w:t>50</w:t>
      </w:r>
      <w:r>
        <w:rPr>
          <w:rFonts w:hint="eastAsia" w:ascii="宋体" w:hAnsi="宋体"/>
          <w:color w:val="000000"/>
          <w:sz w:val="24"/>
          <w:szCs w:val="24"/>
        </w:rPr>
        <w:t>%，即</w:t>
      </w:r>
      <w:r>
        <w:rPr>
          <w:rFonts w:hint="eastAsia" w:ascii="宋体" w:hAnsi="宋体"/>
          <w:b/>
          <w:bCs/>
          <w:color w:val="000000"/>
          <w:sz w:val="24"/>
          <w:szCs w:val="24"/>
          <w:u w:val="single"/>
        </w:rPr>
        <w:t>人民币</w:t>
      </w:r>
      <w:r>
        <w:rPr>
          <w:rFonts w:hint="eastAsia" w:ascii="宋体" w:hAnsi="宋体"/>
          <w:b/>
          <w:bCs/>
          <w:color w:val="000000"/>
          <w:sz w:val="24"/>
          <w:szCs w:val="24"/>
          <w:u w:val="single"/>
          <w:lang w:eastAsia="zh-CN"/>
        </w:rPr>
        <w:t>肆拾贰</w:t>
      </w:r>
      <w:r>
        <w:rPr>
          <w:rFonts w:hint="eastAsia" w:ascii="宋体" w:hAnsi="宋体"/>
          <w:b/>
          <w:bCs/>
          <w:color w:val="000000"/>
          <w:sz w:val="24"/>
          <w:szCs w:val="24"/>
          <w:u w:val="single"/>
        </w:rPr>
        <w:t>万</w:t>
      </w:r>
      <w:r>
        <w:rPr>
          <w:rFonts w:hint="eastAsia" w:ascii="宋体" w:hAnsi="宋体"/>
          <w:b/>
          <w:bCs/>
          <w:color w:val="000000"/>
          <w:sz w:val="24"/>
          <w:szCs w:val="24"/>
          <w:u w:val="single"/>
          <w:lang w:eastAsia="zh-CN"/>
        </w:rPr>
        <w:t>柒</w:t>
      </w:r>
      <w:r>
        <w:rPr>
          <w:rFonts w:hint="eastAsia" w:ascii="宋体" w:hAnsi="宋体"/>
          <w:b/>
          <w:bCs/>
          <w:color w:val="000000"/>
          <w:sz w:val="24"/>
          <w:szCs w:val="24"/>
          <w:u w:val="single"/>
        </w:rPr>
        <w:t>仟</w:t>
      </w:r>
      <w:r>
        <w:rPr>
          <w:rFonts w:hint="eastAsia" w:ascii="宋体" w:hAnsi="宋体"/>
          <w:b/>
          <w:bCs/>
          <w:color w:val="000000"/>
          <w:sz w:val="24"/>
          <w:szCs w:val="24"/>
          <w:u w:val="single"/>
          <w:lang w:eastAsia="zh-CN"/>
        </w:rPr>
        <w:t>伍佰</w:t>
      </w:r>
      <w:r>
        <w:rPr>
          <w:rFonts w:hint="eastAsia" w:ascii="宋体" w:hAnsi="宋体"/>
          <w:b/>
          <w:bCs/>
          <w:color w:val="000000"/>
          <w:sz w:val="24"/>
          <w:szCs w:val="24"/>
          <w:u w:val="single"/>
        </w:rPr>
        <w:t>元整</w:t>
      </w:r>
      <w:r>
        <w:rPr>
          <w:rFonts w:hint="eastAsia" w:ascii="宋体" w:hAnsi="宋体"/>
          <w:color w:val="000000"/>
          <w:sz w:val="24"/>
          <w:szCs w:val="24"/>
        </w:rPr>
        <w:t>（</w:t>
      </w:r>
      <w:r>
        <w:rPr>
          <w:rFonts w:hint="eastAsia" w:ascii="宋体" w:hAnsi="宋体"/>
          <w:b/>
          <w:bCs/>
          <w:color w:val="000000"/>
          <w:sz w:val="24"/>
          <w:szCs w:val="24"/>
        </w:rPr>
        <w:t>¥</w:t>
      </w:r>
      <w:r>
        <w:rPr>
          <w:rFonts w:hint="eastAsia" w:ascii="宋体" w:hAnsi="宋体"/>
          <w:b/>
          <w:bCs/>
          <w:color w:val="000000"/>
          <w:sz w:val="24"/>
          <w:szCs w:val="24"/>
          <w:u w:val="single"/>
          <w:lang w:val="en-US" w:eastAsia="zh-CN"/>
        </w:rPr>
        <w:t>427</w:t>
      </w:r>
      <w:r>
        <w:rPr>
          <w:rFonts w:ascii="宋体" w:hAnsi="宋体"/>
          <w:b/>
          <w:bCs/>
          <w:color w:val="000000"/>
          <w:sz w:val="24"/>
          <w:szCs w:val="24"/>
          <w:u w:val="single"/>
        </w:rPr>
        <w:t>,</w:t>
      </w:r>
      <w:r>
        <w:rPr>
          <w:rFonts w:hint="eastAsia" w:ascii="宋体" w:hAnsi="宋体"/>
          <w:b/>
          <w:bCs/>
          <w:color w:val="000000"/>
          <w:sz w:val="24"/>
          <w:szCs w:val="24"/>
          <w:u w:val="single"/>
          <w:lang w:val="en-US" w:eastAsia="zh-CN"/>
        </w:rPr>
        <w:t>5</w:t>
      </w:r>
      <w:r>
        <w:rPr>
          <w:rFonts w:ascii="宋体" w:hAnsi="宋体"/>
          <w:b/>
          <w:bCs/>
          <w:color w:val="000000"/>
          <w:sz w:val="24"/>
          <w:szCs w:val="24"/>
          <w:u w:val="single"/>
        </w:rPr>
        <w:t>00.00</w:t>
      </w:r>
      <w:r>
        <w:rPr>
          <w:rFonts w:hint="eastAsia" w:ascii="宋体" w:hAnsi="宋体"/>
          <w:b/>
          <w:bCs/>
          <w:color w:val="000000"/>
          <w:sz w:val="24"/>
          <w:szCs w:val="24"/>
          <w:u w:val="single"/>
        </w:rPr>
        <w:t>元</w:t>
      </w:r>
      <w:r>
        <w:rPr>
          <w:rFonts w:hint="eastAsia" w:ascii="宋体" w:hAnsi="宋体"/>
          <w:color w:val="000000"/>
          <w:sz w:val="24"/>
          <w:szCs w:val="24"/>
        </w:rPr>
        <w:t>）。</w:t>
      </w:r>
    </w:p>
    <w:p>
      <w:pPr>
        <w:tabs>
          <w:tab w:val="left" w:pos="709"/>
        </w:tabs>
        <w:spacing w:line="360" w:lineRule="auto"/>
        <w:ind w:firstLine="420"/>
        <w:rPr>
          <w:rFonts w:ascii="宋体" w:hAnsi="宋体" w:cs="宋体"/>
          <w:color w:val="000000"/>
          <w:sz w:val="24"/>
          <w:szCs w:val="24"/>
        </w:rPr>
      </w:pPr>
      <w:r>
        <w:rPr>
          <w:rFonts w:hint="eastAsia" w:ascii="宋体" w:hAnsi="宋体" w:cs="宋体"/>
          <w:color w:val="000000"/>
          <w:sz w:val="24"/>
          <w:szCs w:val="24"/>
        </w:rPr>
        <w:t>项目演习完毕并经甲方验收通过后15天内甲方向乙方支付合同金额的</w:t>
      </w:r>
      <w:r>
        <w:rPr>
          <w:rFonts w:hint="eastAsia" w:ascii="宋体" w:hAnsi="宋体" w:cs="宋体"/>
          <w:color w:val="000000"/>
          <w:sz w:val="24"/>
          <w:szCs w:val="24"/>
          <w:lang w:val="en-US" w:eastAsia="zh-CN"/>
        </w:rPr>
        <w:t>5</w:t>
      </w:r>
      <w:r>
        <w:rPr>
          <w:rFonts w:hint="eastAsia" w:ascii="宋体" w:hAnsi="宋体" w:cs="宋体"/>
          <w:color w:val="000000"/>
          <w:sz w:val="24"/>
          <w:szCs w:val="24"/>
        </w:rPr>
        <w:t>0%。</w:t>
      </w:r>
      <w:r>
        <w:rPr>
          <w:rFonts w:hint="eastAsia" w:ascii="宋体" w:hAnsi="宋体"/>
          <w:color w:val="000000"/>
          <w:sz w:val="24"/>
          <w:szCs w:val="24"/>
        </w:rPr>
        <w:t>即</w:t>
      </w:r>
      <w:r>
        <w:rPr>
          <w:rFonts w:hint="eastAsia" w:ascii="宋体" w:hAnsi="宋体"/>
          <w:b/>
          <w:bCs/>
          <w:color w:val="000000"/>
          <w:sz w:val="24"/>
          <w:szCs w:val="24"/>
          <w:u w:val="single"/>
        </w:rPr>
        <w:t>人民币</w:t>
      </w:r>
      <w:r>
        <w:rPr>
          <w:rFonts w:hint="eastAsia" w:ascii="宋体" w:hAnsi="宋体"/>
          <w:b/>
          <w:bCs/>
          <w:color w:val="000000"/>
          <w:sz w:val="24"/>
          <w:szCs w:val="24"/>
          <w:u w:val="single"/>
          <w:lang w:eastAsia="zh-CN"/>
        </w:rPr>
        <w:t>肆拾贰</w:t>
      </w:r>
      <w:r>
        <w:rPr>
          <w:rFonts w:hint="eastAsia" w:ascii="宋体" w:hAnsi="宋体"/>
          <w:b/>
          <w:bCs/>
          <w:color w:val="000000"/>
          <w:sz w:val="24"/>
          <w:szCs w:val="24"/>
          <w:u w:val="single"/>
        </w:rPr>
        <w:t>万</w:t>
      </w:r>
      <w:r>
        <w:rPr>
          <w:rFonts w:hint="eastAsia" w:ascii="宋体" w:hAnsi="宋体"/>
          <w:b/>
          <w:bCs/>
          <w:color w:val="000000"/>
          <w:sz w:val="24"/>
          <w:szCs w:val="24"/>
          <w:u w:val="single"/>
          <w:lang w:eastAsia="zh-CN"/>
        </w:rPr>
        <w:t>柒</w:t>
      </w:r>
      <w:r>
        <w:rPr>
          <w:rFonts w:hint="eastAsia" w:ascii="宋体" w:hAnsi="宋体"/>
          <w:b/>
          <w:bCs/>
          <w:color w:val="000000"/>
          <w:sz w:val="24"/>
          <w:szCs w:val="24"/>
          <w:u w:val="single"/>
        </w:rPr>
        <w:t>仟</w:t>
      </w:r>
      <w:r>
        <w:rPr>
          <w:rFonts w:hint="eastAsia" w:ascii="宋体" w:hAnsi="宋体"/>
          <w:b/>
          <w:bCs/>
          <w:color w:val="000000"/>
          <w:sz w:val="24"/>
          <w:szCs w:val="24"/>
          <w:u w:val="single"/>
          <w:lang w:eastAsia="zh-CN"/>
        </w:rPr>
        <w:t>伍佰</w:t>
      </w:r>
      <w:r>
        <w:rPr>
          <w:rFonts w:hint="eastAsia" w:ascii="宋体" w:hAnsi="宋体"/>
          <w:b/>
          <w:bCs/>
          <w:color w:val="000000"/>
          <w:sz w:val="24"/>
          <w:szCs w:val="24"/>
          <w:u w:val="single"/>
        </w:rPr>
        <w:t>元整</w:t>
      </w:r>
      <w:r>
        <w:rPr>
          <w:rFonts w:hint="eastAsia" w:ascii="宋体" w:hAnsi="宋体"/>
          <w:color w:val="000000"/>
          <w:sz w:val="24"/>
          <w:szCs w:val="24"/>
        </w:rPr>
        <w:t>（</w:t>
      </w:r>
      <w:r>
        <w:rPr>
          <w:rFonts w:hint="eastAsia" w:ascii="宋体" w:hAnsi="宋体"/>
          <w:b/>
          <w:bCs/>
          <w:color w:val="000000"/>
          <w:sz w:val="24"/>
          <w:szCs w:val="24"/>
        </w:rPr>
        <w:t>¥</w:t>
      </w:r>
      <w:r>
        <w:rPr>
          <w:rFonts w:hint="eastAsia" w:ascii="宋体" w:hAnsi="宋体"/>
          <w:b/>
          <w:bCs/>
          <w:color w:val="000000"/>
          <w:sz w:val="24"/>
          <w:szCs w:val="24"/>
          <w:u w:val="single"/>
          <w:lang w:val="en-US" w:eastAsia="zh-CN"/>
        </w:rPr>
        <w:t>427</w:t>
      </w:r>
      <w:r>
        <w:rPr>
          <w:rFonts w:ascii="宋体" w:hAnsi="宋体"/>
          <w:b/>
          <w:bCs/>
          <w:color w:val="000000"/>
          <w:sz w:val="24"/>
          <w:szCs w:val="24"/>
          <w:u w:val="single"/>
        </w:rPr>
        <w:t>,</w:t>
      </w:r>
      <w:r>
        <w:rPr>
          <w:rFonts w:hint="eastAsia" w:ascii="宋体" w:hAnsi="宋体"/>
          <w:b/>
          <w:bCs/>
          <w:color w:val="000000"/>
          <w:sz w:val="24"/>
          <w:szCs w:val="24"/>
          <w:u w:val="single"/>
          <w:lang w:val="en-US" w:eastAsia="zh-CN"/>
        </w:rPr>
        <w:t>5</w:t>
      </w:r>
      <w:r>
        <w:rPr>
          <w:rFonts w:ascii="宋体" w:hAnsi="宋体"/>
          <w:b/>
          <w:bCs/>
          <w:color w:val="000000"/>
          <w:sz w:val="24"/>
          <w:szCs w:val="24"/>
          <w:u w:val="single"/>
        </w:rPr>
        <w:t>00.00</w:t>
      </w:r>
      <w:r>
        <w:rPr>
          <w:rFonts w:hint="eastAsia" w:ascii="宋体" w:hAnsi="宋体"/>
          <w:b/>
          <w:bCs/>
          <w:color w:val="000000"/>
          <w:sz w:val="24"/>
          <w:szCs w:val="24"/>
          <w:u w:val="single"/>
        </w:rPr>
        <w:t>元</w:t>
      </w:r>
      <w:r>
        <w:rPr>
          <w:rFonts w:hint="eastAsia" w:ascii="宋体" w:hAnsi="宋体"/>
          <w:color w:val="000000"/>
          <w:sz w:val="24"/>
          <w:szCs w:val="24"/>
        </w:rPr>
        <w:t>）。</w:t>
      </w:r>
    </w:p>
    <w:p>
      <w:pPr>
        <w:tabs>
          <w:tab w:val="left" w:pos="709"/>
        </w:tabs>
        <w:spacing w:line="360" w:lineRule="auto"/>
        <w:ind w:firstLine="420"/>
        <w:rPr>
          <w:rFonts w:ascii="宋体" w:hAnsi="宋体"/>
          <w:color w:val="000000"/>
          <w:sz w:val="24"/>
          <w:szCs w:val="24"/>
        </w:rPr>
      </w:pPr>
      <w:r>
        <w:rPr>
          <w:rFonts w:hint="eastAsia" w:ascii="宋体" w:hAnsi="宋体"/>
          <w:color w:val="000000"/>
          <w:sz w:val="24"/>
          <w:szCs w:val="24"/>
        </w:rPr>
        <w:t>（二）乙方凭以下资料办理支付手续。</w:t>
      </w:r>
    </w:p>
    <w:p>
      <w:pPr>
        <w:spacing w:line="360" w:lineRule="auto"/>
        <w:ind w:firstLine="424" w:firstLineChars="177"/>
        <w:rPr>
          <w:rFonts w:ascii="宋体" w:hAnsi="宋体"/>
          <w:color w:val="000000"/>
          <w:sz w:val="24"/>
          <w:szCs w:val="24"/>
        </w:rPr>
      </w:pPr>
      <w:r>
        <w:rPr>
          <w:rFonts w:hint="eastAsia" w:ascii="宋体" w:hAnsi="宋体"/>
          <w:color w:val="000000"/>
          <w:sz w:val="24"/>
          <w:szCs w:val="24"/>
        </w:rPr>
        <w:t>1.成交通知书；</w:t>
      </w:r>
    </w:p>
    <w:p>
      <w:pPr>
        <w:spacing w:line="360" w:lineRule="auto"/>
        <w:ind w:firstLine="424" w:firstLineChars="177"/>
        <w:rPr>
          <w:rFonts w:ascii="宋体" w:hAnsi="宋体"/>
          <w:color w:val="000000"/>
          <w:sz w:val="24"/>
          <w:szCs w:val="24"/>
        </w:rPr>
      </w:pPr>
      <w:r>
        <w:rPr>
          <w:rFonts w:hint="eastAsia" w:ascii="宋体" w:hAnsi="宋体"/>
          <w:color w:val="000000"/>
          <w:sz w:val="24"/>
          <w:szCs w:val="24"/>
        </w:rPr>
        <w:t>2.合同；</w:t>
      </w:r>
    </w:p>
    <w:p>
      <w:pPr>
        <w:spacing w:line="360" w:lineRule="auto"/>
        <w:ind w:firstLine="424" w:firstLineChars="177"/>
        <w:rPr>
          <w:rFonts w:ascii="宋体" w:hAnsi="宋体"/>
          <w:color w:val="000000"/>
          <w:sz w:val="24"/>
          <w:szCs w:val="24"/>
        </w:rPr>
      </w:pPr>
      <w:r>
        <w:rPr>
          <w:rFonts w:hint="eastAsia" w:ascii="宋体" w:hAnsi="宋体"/>
          <w:color w:val="000000"/>
          <w:sz w:val="24"/>
          <w:szCs w:val="24"/>
        </w:rPr>
        <w:t>3.乙方开具的正式发票。</w:t>
      </w:r>
    </w:p>
    <w:p>
      <w:pPr>
        <w:spacing w:line="360" w:lineRule="auto"/>
        <w:ind w:firstLine="424" w:firstLineChars="177"/>
        <w:rPr>
          <w:rFonts w:ascii="宋体" w:hAnsi="宋体"/>
          <w:color w:val="000000"/>
          <w:sz w:val="24"/>
          <w:szCs w:val="24"/>
        </w:rPr>
      </w:pPr>
      <w:r>
        <w:rPr>
          <w:rFonts w:hint="eastAsia" w:ascii="宋体" w:hAnsi="宋体"/>
          <w:color w:val="000000"/>
          <w:sz w:val="24"/>
          <w:szCs w:val="24"/>
        </w:rPr>
        <w:t>4.甲方要求的其他资料。</w:t>
      </w:r>
    </w:p>
    <w:p>
      <w:pPr>
        <w:tabs>
          <w:tab w:val="left" w:pos="709"/>
        </w:tabs>
        <w:spacing w:line="360" w:lineRule="auto"/>
        <w:ind w:firstLine="480" w:firstLineChars="200"/>
        <w:rPr>
          <w:rFonts w:ascii="宋体" w:hAnsi="宋体"/>
          <w:color w:val="000000"/>
          <w:sz w:val="24"/>
          <w:szCs w:val="24"/>
        </w:rPr>
      </w:pPr>
      <w:r>
        <w:rPr>
          <w:rFonts w:hint="eastAsia" w:ascii="宋体" w:hAnsi="宋体"/>
          <w:color w:val="000000"/>
          <w:sz w:val="24"/>
          <w:szCs w:val="24"/>
        </w:rPr>
        <w:t>（三）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tabs>
          <w:tab w:val="left" w:pos="709"/>
        </w:tabs>
        <w:spacing w:line="360" w:lineRule="auto"/>
        <w:outlineLvl w:val="1"/>
        <w:rPr>
          <w:rFonts w:ascii="宋体" w:hAnsi="宋体"/>
          <w:b/>
          <w:bCs/>
          <w:color w:val="000000"/>
          <w:sz w:val="24"/>
          <w:szCs w:val="24"/>
        </w:rPr>
      </w:pPr>
      <w:bookmarkStart w:id="123" w:name="_Toc149248237"/>
      <w:r>
        <w:rPr>
          <w:rFonts w:hint="eastAsia" w:ascii="宋体" w:hAnsi="宋体"/>
          <w:b/>
          <w:bCs/>
          <w:color w:val="000000"/>
          <w:sz w:val="24"/>
          <w:szCs w:val="24"/>
        </w:rPr>
        <w:t>第十二条  保密要求</w:t>
      </w:r>
      <w:bookmarkEnd w:id="123"/>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（一）甲乙双方应遵守所签署的附件《保密协议》。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（二）附件《保密协议》不因本合同无效或解除或终止而无效或终止，保密期限至任一方对外正式公开有关保密信息时为止。</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乙方违反本合同保密条款的，应承担违约责任。如果给甲方造成经济损失，乙方应赔偿甲方的经济损失及承担甲方因此而支出的一切费用（包括但不限于律师费、案件受理费、保全费、财产保全保费、差旅费等）；如果因乙方恶意泄露信息资料，给甲方造成严重后果的，除应赔偿甲方的经济损失及承担甲方因此而支出的一切费用外，乙方还须承担相应的行政责任或刑事责任。</w:t>
      </w:r>
    </w:p>
    <w:p>
      <w:pPr>
        <w:spacing w:line="360" w:lineRule="auto"/>
        <w:outlineLvl w:val="1"/>
        <w:rPr>
          <w:rFonts w:ascii="宋体" w:hAnsi="宋体" w:cs="Tahoma"/>
          <w:b/>
          <w:sz w:val="24"/>
          <w:szCs w:val="24"/>
        </w:rPr>
      </w:pPr>
      <w:bookmarkStart w:id="124" w:name="_Toc149248238"/>
      <w:r>
        <w:rPr>
          <w:rFonts w:hint="eastAsia" w:ascii="宋体" w:hAnsi="宋体" w:cs="Tahoma"/>
          <w:b/>
          <w:sz w:val="24"/>
          <w:szCs w:val="24"/>
        </w:rPr>
        <w:t>第十三条  违约责任</w:t>
      </w:r>
      <w:bookmarkEnd w:id="124"/>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（一）乙方提供的服务不符合磋商文件、响应文件或本合同规定的，甲方有权拒收，并且乙方须向甲方支付本合同总价</w:t>
      </w:r>
      <w:r>
        <w:rPr>
          <w:rFonts w:ascii="宋体" w:hAnsi="宋体" w:cs="宋体"/>
          <w:b/>
          <w:bCs/>
          <w:sz w:val="24"/>
          <w:szCs w:val="24"/>
          <w:u w:val="single"/>
        </w:rPr>
        <w:t>5</w:t>
      </w:r>
      <w:r>
        <w:rPr>
          <w:rFonts w:hint="eastAsia" w:ascii="宋体" w:hAnsi="宋体" w:cs="宋体"/>
          <w:b/>
          <w:bCs/>
          <w:sz w:val="24"/>
          <w:szCs w:val="24"/>
        </w:rPr>
        <w:t>%</w:t>
      </w:r>
      <w:r>
        <w:rPr>
          <w:rFonts w:hint="eastAsia" w:ascii="宋体" w:hAnsi="宋体" w:cs="宋体"/>
          <w:sz w:val="24"/>
          <w:szCs w:val="24"/>
        </w:rPr>
        <w:t>的违约金。甲方有权要求乙方限期修改并承担因修改导致的费用，无法修改或乙方在甲方指定期间内仍无法提供符合约定的服务成果的，甲方有权解除合同，乙方应退还全部合同款项并向甲方支付本合同总价</w:t>
      </w:r>
      <w:r>
        <w:rPr>
          <w:rFonts w:ascii="宋体" w:hAnsi="宋体" w:cs="宋体"/>
          <w:b/>
          <w:bCs/>
          <w:sz w:val="24"/>
          <w:szCs w:val="24"/>
          <w:u w:val="single"/>
        </w:rPr>
        <w:t>5</w:t>
      </w:r>
      <w:r>
        <w:rPr>
          <w:rFonts w:hint="eastAsia" w:ascii="宋体" w:hAnsi="宋体" w:cs="宋体"/>
          <w:b/>
          <w:bCs/>
          <w:sz w:val="24"/>
          <w:szCs w:val="24"/>
        </w:rPr>
        <w:t>%</w:t>
      </w:r>
      <w:r>
        <w:rPr>
          <w:rFonts w:hint="eastAsia" w:ascii="宋体" w:hAnsi="宋体" w:cs="宋体"/>
          <w:sz w:val="24"/>
          <w:szCs w:val="24"/>
        </w:rPr>
        <w:t>的违约金。违约金不足以弥补甲方损失的，乙方应承担赔偿责任。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（二）乙方未能按本合同规定的时间提供服务，从逾期之日起每日按本合同总价</w:t>
      </w:r>
      <w:r>
        <w:rPr>
          <w:rFonts w:ascii="宋体" w:hAnsi="宋体" w:cs="宋体"/>
          <w:b/>
          <w:bCs/>
          <w:sz w:val="24"/>
          <w:szCs w:val="24"/>
          <w:u w:val="single"/>
        </w:rPr>
        <w:t>3</w:t>
      </w:r>
      <w:r>
        <w:rPr>
          <w:rFonts w:hint="eastAsia" w:ascii="宋体" w:hAnsi="宋体" w:cs="宋体"/>
          <w:b/>
          <w:bCs/>
          <w:sz w:val="24"/>
          <w:szCs w:val="24"/>
          <w:u w:val="single"/>
        </w:rPr>
        <w:t>‰</w:t>
      </w:r>
      <w:r>
        <w:rPr>
          <w:rFonts w:hint="eastAsia" w:ascii="宋体" w:hAnsi="宋体" w:cs="宋体"/>
          <w:sz w:val="24"/>
          <w:szCs w:val="24"/>
        </w:rPr>
        <w:t>的数额向甲方支付违约金；逾期</w:t>
      </w:r>
      <w:r>
        <w:rPr>
          <w:rFonts w:ascii="宋体" w:hAnsi="宋体" w:cs="宋体"/>
          <w:b/>
          <w:bCs/>
          <w:sz w:val="24"/>
          <w:szCs w:val="24"/>
          <w:u w:val="single"/>
        </w:rPr>
        <w:t>15</w:t>
      </w:r>
      <w:r>
        <w:rPr>
          <w:rFonts w:hint="eastAsia" w:ascii="宋体" w:hAnsi="宋体" w:cs="宋体"/>
          <w:sz w:val="24"/>
          <w:szCs w:val="24"/>
        </w:rPr>
        <w:t>天以上（含</w:t>
      </w:r>
      <w:r>
        <w:rPr>
          <w:rFonts w:ascii="宋体" w:hAnsi="宋体" w:cs="宋体"/>
          <w:b/>
          <w:bCs/>
          <w:sz w:val="24"/>
          <w:szCs w:val="24"/>
          <w:u w:val="single"/>
        </w:rPr>
        <w:t>15</w:t>
      </w:r>
      <w:r>
        <w:rPr>
          <w:rFonts w:hint="eastAsia" w:ascii="宋体" w:hAnsi="宋体" w:cs="宋体"/>
          <w:sz w:val="24"/>
          <w:szCs w:val="24"/>
        </w:rPr>
        <w:t>天）的，甲方有权解除合同，乙方应退还全部合同款项并向甲方支付本合同总价</w:t>
      </w:r>
      <w:r>
        <w:rPr>
          <w:rFonts w:ascii="宋体" w:hAnsi="宋体" w:cs="宋体"/>
          <w:b/>
          <w:bCs/>
          <w:sz w:val="24"/>
          <w:szCs w:val="24"/>
          <w:u w:val="single"/>
        </w:rPr>
        <w:t>5</w:t>
      </w:r>
      <w:r>
        <w:rPr>
          <w:rFonts w:hint="eastAsia" w:ascii="宋体" w:hAnsi="宋体" w:cs="宋体"/>
          <w:b/>
          <w:bCs/>
          <w:sz w:val="24"/>
          <w:szCs w:val="24"/>
        </w:rPr>
        <w:t>%</w:t>
      </w:r>
      <w:r>
        <w:rPr>
          <w:rFonts w:hint="eastAsia" w:ascii="宋体" w:hAnsi="宋体" w:cs="宋体"/>
          <w:sz w:val="24"/>
          <w:szCs w:val="24"/>
        </w:rPr>
        <w:t>的违约金。违约金不足以弥补甲方损失的，乙方应承担赔偿责任。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（三）甲方无正当理由拒收接受服务，到期拒付服务款项的，甲方向乙方偿付本合同总价</w:t>
      </w:r>
      <w:r>
        <w:rPr>
          <w:rFonts w:ascii="宋体" w:hAnsi="宋体" w:cs="宋体"/>
          <w:b/>
          <w:bCs/>
          <w:sz w:val="24"/>
          <w:szCs w:val="24"/>
          <w:u w:val="single"/>
        </w:rPr>
        <w:t>5</w:t>
      </w:r>
      <w:r>
        <w:rPr>
          <w:rFonts w:hint="eastAsia" w:ascii="宋体" w:hAnsi="宋体" w:cs="宋体"/>
          <w:b/>
          <w:bCs/>
          <w:sz w:val="24"/>
          <w:szCs w:val="24"/>
        </w:rPr>
        <w:t>%</w:t>
      </w:r>
      <w:r>
        <w:rPr>
          <w:rFonts w:hint="eastAsia" w:ascii="宋体" w:hAnsi="宋体" w:cs="宋体"/>
          <w:sz w:val="24"/>
          <w:szCs w:val="24"/>
        </w:rPr>
        <w:t>的违约金。甲方逾期付款，则每日按欠付金额的</w:t>
      </w:r>
      <w:r>
        <w:rPr>
          <w:rFonts w:ascii="宋体" w:hAnsi="宋体" w:cs="宋体"/>
          <w:b/>
          <w:bCs/>
          <w:sz w:val="24"/>
          <w:szCs w:val="24"/>
          <w:u w:val="single"/>
        </w:rPr>
        <w:t>3</w:t>
      </w:r>
      <w:r>
        <w:rPr>
          <w:rFonts w:hint="eastAsia" w:ascii="宋体" w:hAnsi="宋体" w:cs="宋体"/>
          <w:b/>
          <w:bCs/>
          <w:sz w:val="24"/>
          <w:szCs w:val="24"/>
        </w:rPr>
        <w:t>‰</w:t>
      </w:r>
      <w:r>
        <w:rPr>
          <w:rFonts w:hint="eastAsia" w:ascii="宋体" w:hAnsi="宋体" w:cs="宋体"/>
          <w:sz w:val="24"/>
          <w:szCs w:val="24"/>
        </w:rPr>
        <w:t>向乙方偿付违约金，但总金额不超过本合同总价的</w:t>
      </w:r>
      <w:r>
        <w:rPr>
          <w:rFonts w:ascii="宋体" w:hAnsi="宋体" w:cs="宋体"/>
          <w:b/>
          <w:bCs/>
          <w:sz w:val="24"/>
          <w:szCs w:val="24"/>
          <w:u w:val="single"/>
        </w:rPr>
        <w:t>5</w:t>
      </w:r>
      <w:r>
        <w:rPr>
          <w:rFonts w:hint="eastAsia" w:ascii="宋体" w:hAnsi="宋体" w:cs="宋体"/>
          <w:b/>
          <w:bCs/>
          <w:sz w:val="24"/>
          <w:szCs w:val="24"/>
        </w:rPr>
        <w:t>%</w:t>
      </w:r>
      <w:r>
        <w:rPr>
          <w:rFonts w:hint="eastAsia" w:ascii="宋体" w:hAnsi="宋体" w:cs="宋体"/>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（四）其它违约责任按《中华人民共和国民法典》处理</w:t>
      </w:r>
      <w:r>
        <w:rPr>
          <w:rFonts w:ascii="宋体" w:hAnsi="宋体" w:cs="宋体"/>
          <w:sz w:val="24"/>
          <w:szCs w:val="24"/>
        </w:rPr>
        <w:t>。</w:t>
      </w:r>
    </w:p>
    <w:p>
      <w:pPr>
        <w:spacing w:line="360" w:lineRule="auto"/>
        <w:outlineLvl w:val="1"/>
        <w:rPr>
          <w:rFonts w:ascii="宋体" w:hAnsi="宋体" w:cs="Tahoma"/>
          <w:b/>
          <w:sz w:val="24"/>
          <w:szCs w:val="24"/>
        </w:rPr>
      </w:pPr>
      <w:bookmarkStart w:id="125" w:name="_Toc149248239"/>
      <w:bookmarkStart w:id="126" w:name="_Toc27573"/>
      <w:r>
        <w:rPr>
          <w:rFonts w:hint="eastAsia" w:ascii="宋体" w:hAnsi="宋体" w:cs="Tahoma"/>
          <w:b/>
          <w:sz w:val="24"/>
          <w:szCs w:val="24"/>
        </w:rPr>
        <w:t>第十四条  甲、乙双方的权利及义务</w:t>
      </w:r>
      <w:bookmarkEnd w:id="125"/>
      <w:bookmarkEnd w:id="126"/>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（一）甲方权利义务</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1.指定专人负责与乙方联系委托事宜。</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2.提出项目服务内容和要求。</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3.配合乙方开展服务培训、业务培训等事项。按约定时间向乙方支付服务费用。</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4.对乙方工作进行监督管理，对乙方服务完成质量情况进行验收。如发现问题，有权向乙方提出整改意见。</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5.在合作过程中，有权要求乙方对不能胜任或不符合业务要求的工作人员进行更换。</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6.合同期内，甲方有权对乙方执行情况进行监督，对发现的问题,有权要求乙方限期整改。</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7.对乙方不称职的服务人员，甲方有权要求乙方限期更换。</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8.协助乙方做好工作，提供必要的帮助。</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9.依照约定的标准及期限，及时、足额支付服务费。</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（二）乙方权利义务</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1.乙方按照合同约定保质保量向甲方提供合格的服务。</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2.应尽可能保持工作人员相对稳定。</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3.乙方有义务做好工作人员的岗前培训工作，通过对服务工作人员进行相关业务专业技能的培训，达到相关工作人员上岗的必备条件。</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4.乙方应接受甲方的监督管理,对甲方提出的处理意见在3个工作日内答复。</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5.因乙方工作人员在工作期间造成甲方工作人员人身或财产损失、或第三人人身以及财产损失的，乙方应承担全额赔偿责任。</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6.在服务过程中对无法解决的事项要及时向甲方反映。</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7.按照本项目服务要求向甲方交付服务成果。</w:t>
      </w:r>
    </w:p>
    <w:p>
      <w:pPr>
        <w:spacing w:line="360" w:lineRule="auto"/>
        <w:outlineLvl w:val="1"/>
        <w:rPr>
          <w:rFonts w:ascii="宋体" w:hAnsi="宋体" w:cs="Tahoma"/>
          <w:b/>
          <w:sz w:val="24"/>
          <w:szCs w:val="24"/>
        </w:rPr>
      </w:pPr>
      <w:bookmarkStart w:id="127" w:name="_Toc149248240"/>
      <w:r>
        <w:rPr>
          <w:rFonts w:hint="eastAsia" w:ascii="宋体" w:hAnsi="宋体" w:cs="Tahoma"/>
          <w:b/>
          <w:sz w:val="24"/>
          <w:szCs w:val="24"/>
        </w:rPr>
        <w:t>第十五条  争端的解决</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27"/>
    </w:p>
    <w:p>
      <w:pPr>
        <w:spacing w:line="360" w:lineRule="auto"/>
        <w:ind w:firstLine="480" w:firstLineChars="200"/>
        <w:rPr>
          <w:rFonts w:ascii="宋体" w:hAnsi="宋体" w:cs="宋体"/>
          <w:sz w:val="24"/>
          <w:szCs w:val="24"/>
        </w:rPr>
      </w:pPr>
      <w:r>
        <w:rPr>
          <w:rFonts w:hint="eastAsia" w:ascii="宋体" w:hAnsi="宋体" w:cs="宋体"/>
          <w:sz w:val="24"/>
          <w:szCs w:val="24"/>
        </w:rPr>
        <w:t>合同履行过程中双方如发生争议，双方应先协商解决，自争议发生之日起30日内协商不成的，双方同意向甲方所在地法院提请诉讼解决。</w:t>
      </w:r>
    </w:p>
    <w:p>
      <w:pPr>
        <w:spacing w:line="360" w:lineRule="auto"/>
        <w:outlineLvl w:val="1"/>
        <w:rPr>
          <w:rFonts w:ascii="宋体" w:hAnsi="宋体" w:cs="Tahoma"/>
          <w:b/>
          <w:sz w:val="24"/>
          <w:szCs w:val="24"/>
        </w:rPr>
      </w:pPr>
      <w:bookmarkStart w:id="128" w:name="_Toc498265690"/>
      <w:bookmarkStart w:id="129" w:name="_Toc149248241"/>
      <w:bookmarkStart w:id="130" w:name="_Toc51681509"/>
      <w:bookmarkStart w:id="131" w:name="_Toc515957287"/>
      <w:bookmarkStart w:id="132" w:name="_Toc498978645"/>
      <w:bookmarkStart w:id="133" w:name="_Toc503169257"/>
      <w:bookmarkStart w:id="134" w:name="_Toc504741268"/>
      <w:bookmarkStart w:id="135" w:name="_Toc513652320"/>
      <w:bookmarkStart w:id="136" w:name="_Toc498079535"/>
      <w:bookmarkStart w:id="137" w:name="_Toc11922006"/>
      <w:bookmarkStart w:id="138" w:name="_Toc504062536"/>
      <w:bookmarkStart w:id="139" w:name="_Toc82692195"/>
      <w:bookmarkStart w:id="140" w:name="_Toc515956935"/>
      <w:bookmarkStart w:id="141" w:name="_Toc31695"/>
      <w:bookmarkStart w:id="142" w:name="_Toc78444614"/>
      <w:bookmarkStart w:id="143" w:name="_Toc80869743"/>
      <w:bookmarkStart w:id="144" w:name="_Toc77781870"/>
      <w:bookmarkStart w:id="145" w:name="_Toc51249797"/>
      <w:bookmarkStart w:id="146" w:name="_Toc78274970"/>
      <w:bookmarkStart w:id="147" w:name="_Toc504122272"/>
      <w:bookmarkStart w:id="148" w:name="_Toc10337"/>
      <w:bookmarkStart w:id="149" w:name="_Toc2461"/>
      <w:bookmarkStart w:id="150" w:name="_Toc514163572"/>
      <w:bookmarkStart w:id="151" w:name="_Toc66020770"/>
      <w:bookmarkStart w:id="152" w:name="_Toc91288824"/>
      <w:bookmarkStart w:id="153" w:name="_Toc82445262"/>
      <w:bookmarkStart w:id="154" w:name="_Toc515971204"/>
      <w:bookmarkStart w:id="155" w:name="_Toc69828229"/>
      <w:bookmarkStart w:id="156" w:name="_Toc24471635"/>
      <w:bookmarkStart w:id="157" w:name="_Toc75028781"/>
      <w:bookmarkStart w:id="158" w:name="_Toc90148918"/>
      <w:bookmarkStart w:id="159" w:name="_Toc71878602"/>
      <w:bookmarkStart w:id="160" w:name="_Toc499278269"/>
      <w:r>
        <w:rPr>
          <w:rFonts w:hint="eastAsia" w:ascii="宋体" w:hAnsi="宋体" w:cs="Tahoma"/>
          <w:b/>
          <w:sz w:val="24"/>
          <w:szCs w:val="24"/>
        </w:rPr>
        <w:t>第十六条  不可抗力</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360" w:lineRule="auto"/>
        <w:ind w:firstLine="480" w:firstLineChars="200"/>
        <w:rPr>
          <w:rFonts w:ascii="宋体" w:hAnsi="宋体" w:cs="宋体"/>
          <w:sz w:val="24"/>
          <w:szCs w:val="24"/>
        </w:rPr>
      </w:pPr>
      <w:r>
        <w:rPr>
          <w:rFonts w:hint="eastAsia" w:ascii="宋体" w:hAnsi="宋体" w:cs="宋体"/>
          <w:sz w:val="24"/>
          <w:szCs w:val="24"/>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spacing w:line="360" w:lineRule="auto"/>
        <w:outlineLvl w:val="1"/>
        <w:rPr>
          <w:rFonts w:ascii="宋体" w:hAnsi="宋体" w:cs="Tahoma"/>
          <w:b/>
          <w:sz w:val="24"/>
          <w:szCs w:val="24"/>
        </w:rPr>
      </w:pPr>
      <w:bookmarkStart w:id="161" w:name="_Toc91288825"/>
      <w:bookmarkStart w:id="162" w:name="_Toc90148919"/>
      <w:bookmarkStart w:id="163" w:name="_Toc498978646"/>
      <w:bookmarkStart w:id="164" w:name="_Toc77781871"/>
      <w:bookmarkStart w:id="165" w:name="_Toc11922007"/>
      <w:bookmarkStart w:id="166" w:name="_Toc8041"/>
      <w:bookmarkStart w:id="167" w:name="_Toc504122273"/>
      <w:bookmarkStart w:id="168" w:name="_Toc24471636"/>
      <w:bookmarkStart w:id="169" w:name="_Toc504062537"/>
      <w:bookmarkStart w:id="170" w:name="_Toc69828230"/>
      <w:bookmarkStart w:id="171" w:name="_Toc515971205"/>
      <w:bookmarkStart w:id="172" w:name="_Toc82692196"/>
      <w:bookmarkStart w:id="173" w:name="_Toc498265691"/>
      <w:bookmarkStart w:id="174" w:name="_Toc513652321"/>
      <w:bookmarkStart w:id="175" w:name="_Toc78444615"/>
      <w:bookmarkStart w:id="176" w:name="_Toc82445263"/>
      <w:bookmarkStart w:id="177" w:name="_Toc515956936"/>
      <w:bookmarkStart w:id="178" w:name="_Toc504741269"/>
      <w:bookmarkStart w:id="179" w:name="_Toc515957288"/>
      <w:bookmarkStart w:id="180" w:name="_Toc503169258"/>
      <w:bookmarkStart w:id="181" w:name="_Toc51249798"/>
      <w:bookmarkStart w:id="182" w:name="_Toc149248242"/>
      <w:bookmarkStart w:id="183" w:name="_Toc80869744"/>
      <w:bookmarkStart w:id="184" w:name="_Toc66020771"/>
      <w:bookmarkStart w:id="185" w:name="_Toc78274971"/>
      <w:bookmarkStart w:id="186" w:name="_Toc71878603"/>
      <w:bookmarkStart w:id="187" w:name="_Toc499278270"/>
      <w:bookmarkStart w:id="188" w:name="_Toc30524"/>
      <w:bookmarkStart w:id="189" w:name="_Toc75028782"/>
      <w:bookmarkStart w:id="190" w:name="_Toc13358"/>
      <w:bookmarkStart w:id="191" w:name="_Toc51681510"/>
      <w:bookmarkStart w:id="192" w:name="_Toc498079536"/>
      <w:bookmarkStart w:id="193" w:name="_Toc514163573"/>
      <w:r>
        <w:rPr>
          <w:rFonts w:hint="eastAsia" w:ascii="宋体" w:hAnsi="宋体" w:cs="Tahoma"/>
          <w:b/>
          <w:sz w:val="24"/>
          <w:szCs w:val="24"/>
        </w:rPr>
        <w:t>第十七条  税费</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360" w:lineRule="auto"/>
        <w:ind w:firstLine="480" w:firstLineChars="200"/>
        <w:rPr>
          <w:rFonts w:ascii="宋体" w:hAnsi="宋体" w:cs="宋体"/>
          <w:sz w:val="24"/>
          <w:szCs w:val="24"/>
        </w:rPr>
      </w:pPr>
      <w:r>
        <w:rPr>
          <w:rFonts w:hint="eastAsia" w:ascii="宋体" w:hAnsi="宋体" w:cs="宋体"/>
          <w:sz w:val="24"/>
          <w:szCs w:val="24"/>
        </w:rPr>
        <w:t>在中国境内、外发生的与本合同执行有关的一切税费均由乙方负担。</w:t>
      </w:r>
    </w:p>
    <w:bookmarkEnd w:id="113"/>
    <w:bookmarkEnd w:id="114"/>
    <w:bookmarkEnd w:id="115"/>
    <w:p>
      <w:pPr>
        <w:spacing w:line="360" w:lineRule="auto"/>
        <w:outlineLvl w:val="1"/>
        <w:rPr>
          <w:rFonts w:ascii="宋体" w:hAnsi="宋体" w:cs="Tahoma"/>
          <w:b/>
          <w:sz w:val="24"/>
          <w:szCs w:val="24"/>
        </w:rPr>
      </w:pPr>
      <w:bookmarkStart w:id="194" w:name="_Toc82692197"/>
      <w:bookmarkStart w:id="195" w:name="_Toc90148920"/>
      <w:bookmarkStart w:id="196" w:name="_Toc515971206"/>
      <w:bookmarkStart w:id="197" w:name="_Toc149248243"/>
      <w:bookmarkStart w:id="198" w:name="_Toc498079537"/>
      <w:bookmarkStart w:id="199" w:name="_Toc513652322"/>
      <w:bookmarkStart w:id="200" w:name="_Toc504062538"/>
      <w:bookmarkStart w:id="201" w:name="_Toc80869745"/>
      <w:bookmarkStart w:id="202" w:name="_Toc51249799"/>
      <w:bookmarkStart w:id="203" w:name="_Toc51681511"/>
      <w:bookmarkStart w:id="204" w:name="_Toc71878604"/>
      <w:bookmarkStart w:id="205" w:name="_Toc78444616"/>
      <w:bookmarkStart w:id="206" w:name="_Toc82445264"/>
      <w:bookmarkStart w:id="207" w:name="_Toc75028783"/>
      <w:bookmarkStart w:id="208" w:name="_Toc12938"/>
      <w:bookmarkStart w:id="209" w:name="_Toc504122274"/>
      <w:bookmarkStart w:id="210" w:name="_Toc504741270"/>
      <w:bookmarkStart w:id="211" w:name="_Toc77781872"/>
      <w:bookmarkStart w:id="212" w:name="_Toc498978647"/>
      <w:bookmarkStart w:id="213" w:name="_Toc498265692"/>
      <w:bookmarkStart w:id="214" w:name="_Toc503169259"/>
      <w:bookmarkStart w:id="215" w:name="_Toc499278271"/>
      <w:bookmarkStart w:id="216" w:name="_Toc78274972"/>
      <w:bookmarkStart w:id="217" w:name="_Toc24471637"/>
      <w:bookmarkStart w:id="218" w:name="_Toc66020772"/>
      <w:bookmarkStart w:id="219" w:name="_Toc514163574"/>
      <w:bookmarkStart w:id="220" w:name="_Toc30310"/>
      <w:bookmarkStart w:id="221" w:name="_Toc69828231"/>
      <w:bookmarkStart w:id="222" w:name="_Toc515956937"/>
      <w:bookmarkStart w:id="223" w:name="_Toc7176"/>
      <w:bookmarkStart w:id="224" w:name="_Toc515957289"/>
      <w:bookmarkStart w:id="225" w:name="_Toc91288826"/>
      <w:bookmarkStart w:id="226" w:name="_Toc11922008"/>
      <w:r>
        <w:rPr>
          <w:rFonts w:hint="eastAsia" w:ascii="宋体" w:hAnsi="宋体" w:cs="Tahoma"/>
          <w:b/>
          <w:sz w:val="24"/>
          <w:szCs w:val="24"/>
        </w:rPr>
        <w:t>第十八条  合同生效</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（一）本合同正本</w:t>
      </w:r>
      <w:r>
        <w:rPr>
          <w:rFonts w:hint="eastAsia" w:ascii="宋体" w:hAnsi="宋体" w:cs="宋体"/>
          <w:b/>
          <w:bCs/>
          <w:kern w:val="0"/>
          <w:sz w:val="24"/>
          <w:szCs w:val="24"/>
          <w:u w:val="single"/>
        </w:rPr>
        <w:t>陆</w:t>
      </w:r>
      <w:r>
        <w:rPr>
          <w:rFonts w:hint="eastAsia" w:ascii="宋体" w:hAnsi="宋体" w:cs="宋体"/>
          <w:kern w:val="0"/>
          <w:sz w:val="24"/>
          <w:szCs w:val="24"/>
        </w:rPr>
        <w:t>份，具有同等法律效力，甲、乙双方各执</w:t>
      </w:r>
      <w:r>
        <w:rPr>
          <w:rFonts w:hint="eastAsia" w:ascii="宋体" w:hAnsi="宋体" w:cs="宋体"/>
          <w:b/>
          <w:bCs/>
          <w:kern w:val="0"/>
          <w:sz w:val="24"/>
          <w:szCs w:val="24"/>
          <w:u w:val="single"/>
        </w:rPr>
        <w:t>叁</w:t>
      </w:r>
      <w:r>
        <w:rPr>
          <w:rFonts w:hint="eastAsia" w:ascii="宋体" w:hAnsi="宋体" w:cs="宋体"/>
          <w:kern w:val="0"/>
          <w:sz w:val="24"/>
          <w:szCs w:val="24"/>
        </w:rPr>
        <w:t>份。合同自双方签字并盖章之日起即时生效。</w:t>
      </w:r>
    </w:p>
    <w:p>
      <w:pPr>
        <w:spacing w:line="360" w:lineRule="auto"/>
        <w:ind w:firstLine="480" w:firstLineChars="200"/>
        <w:rPr>
          <w:rFonts w:ascii="宋体" w:hAnsi="宋体" w:cs="宋体"/>
          <w:sz w:val="24"/>
          <w:szCs w:val="24"/>
        </w:rPr>
      </w:pPr>
      <w:r>
        <w:rPr>
          <w:rFonts w:hint="eastAsia" w:ascii="宋体" w:hAnsi="宋体" w:cs="宋体"/>
          <w:kern w:val="0"/>
          <w:sz w:val="24"/>
          <w:szCs w:val="24"/>
        </w:rPr>
        <w:t>（二）本合同未尽事宜，由双方协商处理。</w:t>
      </w:r>
    </w:p>
    <w:p>
      <w:pPr>
        <w:spacing w:line="360" w:lineRule="auto"/>
        <w:rPr>
          <w:rFonts w:ascii="宋体" w:hAnsi="宋体"/>
          <w:sz w:val="24"/>
          <w:szCs w:val="24"/>
        </w:rPr>
      </w:pPr>
      <w:r>
        <w:rPr>
          <w:rFonts w:hint="eastAsia" w:ascii="宋体" w:hAnsi="宋体"/>
          <w:sz w:val="24"/>
          <w:szCs w:val="24"/>
        </w:rPr>
        <w:t>此页无正文</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甲方：广东省应急管理厅                 乙方：广东信通通信有限公司</w:t>
      </w:r>
    </w:p>
    <w:p>
      <w:pPr>
        <w:spacing w:line="360" w:lineRule="auto"/>
        <w:rPr>
          <w:rFonts w:ascii="宋体" w:hAnsi="宋体"/>
          <w:sz w:val="24"/>
          <w:szCs w:val="24"/>
        </w:rPr>
      </w:pPr>
      <w:r>
        <w:rPr>
          <w:rFonts w:hint="eastAsia" w:ascii="宋体" w:hAnsi="宋体"/>
          <w:sz w:val="24"/>
          <w:szCs w:val="24"/>
        </w:rPr>
        <w:t>（盖章）                                 （盖章）</w:t>
      </w:r>
    </w:p>
    <w:p>
      <w:pPr>
        <w:spacing w:line="360" w:lineRule="auto"/>
        <w:rPr>
          <w:rFonts w:ascii="宋体" w:hAnsi="宋体"/>
          <w:sz w:val="24"/>
          <w:szCs w:val="24"/>
        </w:rPr>
      </w:pPr>
      <w:r>
        <w:rPr>
          <w:rFonts w:hint="eastAsia" w:ascii="宋体" w:hAnsi="宋体"/>
          <w:sz w:val="24"/>
          <w:szCs w:val="24"/>
        </w:rPr>
        <w:t>地址：                                  地址：中山市五桂山商业街78号</w:t>
      </w:r>
    </w:p>
    <w:p>
      <w:pPr>
        <w:spacing w:line="360" w:lineRule="auto"/>
        <w:rPr>
          <w:rFonts w:ascii="宋体" w:hAnsi="宋体"/>
          <w:sz w:val="24"/>
          <w:szCs w:val="24"/>
        </w:rPr>
      </w:pPr>
      <w:r>
        <w:rPr>
          <w:rFonts w:hint="eastAsia" w:ascii="宋体" w:hAnsi="宋体"/>
          <w:sz w:val="24"/>
          <w:szCs w:val="24"/>
        </w:rPr>
        <w:t>负责人：                                项目负责人：</w:t>
      </w:r>
    </w:p>
    <w:p>
      <w:pPr>
        <w:spacing w:line="360" w:lineRule="auto"/>
        <w:rPr>
          <w:rFonts w:ascii="宋体" w:hAnsi="宋体"/>
          <w:sz w:val="24"/>
          <w:szCs w:val="24"/>
        </w:rPr>
      </w:pPr>
      <w:r>
        <w:rPr>
          <w:rFonts w:hint="eastAsia" w:ascii="宋体" w:hAnsi="宋体"/>
          <w:sz w:val="24"/>
          <w:szCs w:val="24"/>
        </w:rPr>
        <w:t>电话：                                  电话：</w:t>
      </w:r>
    </w:p>
    <w:p>
      <w:pPr>
        <w:spacing w:line="360" w:lineRule="auto"/>
        <w:rPr>
          <w:rFonts w:ascii="宋体" w:hAnsi="宋体"/>
          <w:sz w:val="24"/>
          <w:szCs w:val="24"/>
        </w:rPr>
      </w:pPr>
      <w:r>
        <w:rPr>
          <w:rFonts w:hint="eastAsia" w:ascii="宋体" w:hAnsi="宋体"/>
          <w:sz w:val="24"/>
          <w:szCs w:val="24"/>
        </w:rPr>
        <w:t xml:space="preserve">                                        开户银行：</w:t>
      </w:r>
    </w:p>
    <w:p>
      <w:pPr>
        <w:spacing w:line="360" w:lineRule="auto"/>
        <w:ind w:firstLine="720" w:firstLineChars="300"/>
        <w:rPr>
          <w:rFonts w:ascii="宋体" w:hAnsi="宋体"/>
          <w:sz w:val="24"/>
          <w:szCs w:val="24"/>
        </w:rPr>
      </w:pPr>
      <w:r>
        <w:rPr>
          <w:rFonts w:hint="eastAsia" w:ascii="宋体" w:hAnsi="宋体"/>
          <w:sz w:val="24"/>
          <w:szCs w:val="24"/>
        </w:rPr>
        <w:t xml:space="preserve">                                  账号：</w:t>
      </w:r>
    </w:p>
    <w:p>
      <w:pPr>
        <w:spacing w:line="360" w:lineRule="auto"/>
        <w:rPr>
          <w:rFonts w:ascii="宋体" w:hAnsi="宋体"/>
          <w:sz w:val="24"/>
          <w:szCs w:val="24"/>
        </w:rPr>
      </w:pPr>
      <w:r>
        <w:rPr>
          <w:rFonts w:hint="eastAsia" w:ascii="宋体" w:hAnsi="宋体"/>
          <w:sz w:val="24"/>
          <w:szCs w:val="24"/>
        </w:rPr>
        <w:t xml:space="preserve">签约日期：     年   月   日             签约日期：   年  月  日 </w:t>
      </w:r>
    </w:p>
    <w:p>
      <w:pPr>
        <w:spacing w:line="360" w:lineRule="auto"/>
        <w:rPr>
          <w:rFonts w:ascii="宋体" w:hAnsi="宋体"/>
          <w:sz w:val="24"/>
          <w:szCs w:val="24"/>
        </w:rPr>
      </w:pPr>
    </w:p>
    <w:p>
      <w:pPr>
        <w:widowControl/>
        <w:spacing w:line="360" w:lineRule="auto"/>
        <w:jc w:val="left"/>
        <w:rPr>
          <w:rFonts w:ascii="宋体" w:hAnsi="宋体"/>
          <w:b/>
          <w:sz w:val="24"/>
          <w:szCs w:val="24"/>
        </w:rPr>
      </w:pPr>
      <w:r>
        <w:rPr>
          <w:rFonts w:ascii="宋体" w:hAnsi="宋体"/>
          <w:b/>
          <w:sz w:val="24"/>
          <w:szCs w:val="24"/>
        </w:rPr>
        <w:br w:type="page"/>
      </w:r>
    </w:p>
    <w:p>
      <w:pPr>
        <w:spacing w:line="360" w:lineRule="auto"/>
        <w:jc w:val="center"/>
        <w:rPr>
          <w:rFonts w:ascii="宋体" w:hAnsi="宋体"/>
          <w:b/>
          <w:sz w:val="24"/>
          <w:szCs w:val="24"/>
        </w:rPr>
      </w:pPr>
      <w:r>
        <w:rPr>
          <w:rFonts w:hint="eastAsia" w:ascii="宋体" w:hAnsi="宋体"/>
          <w:b/>
          <w:sz w:val="24"/>
          <w:szCs w:val="24"/>
        </w:rPr>
        <w:t>公平竞争和政府采购廉政协议</w:t>
      </w:r>
    </w:p>
    <w:p>
      <w:pPr>
        <w:spacing w:line="360" w:lineRule="auto"/>
        <w:rPr>
          <w:rFonts w:ascii="宋体" w:hAnsi="宋体"/>
          <w:sz w:val="24"/>
          <w:szCs w:val="24"/>
        </w:rPr>
      </w:pPr>
      <w:r>
        <w:rPr>
          <w:rFonts w:hint="eastAsia" w:ascii="宋体" w:hAnsi="宋体"/>
          <w:sz w:val="24"/>
          <w:szCs w:val="24"/>
        </w:rPr>
        <w:t>甲方：广东省应急管理厅</w:t>
      </w:r>
    </w:p>
    <w:p>
      <w:pPr>
        <w:spacing w:line="360" w:lineRule="auto"/>
        <w:rPr>
          <w:rFonts w:ascii="宋体" w:hAnsi="宋体"/>
          <w:sz w:val="24"/>
          <w:szCs w:val="24"/>
        </w:rPr>
      </w:pPr>
      <w:r>
        <w:rPr>
          <w:rFonts w:hint="eastAsia" w:ascii="宋体" w:hAnsi="宋体"/>
          <w:sz w:val="24"/>
          <w:szCs w:val="24"/>
        </w:rPr>
        <w:t>乙方：广东信通通信有限公司</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为加强甲方政府采购过程的廉政管理，提高监督、制约水平，确保政府采购公平、公正、公开和透明，防止腐败现象的</w:t>
      </w:r>
      <w:r>
        <w:rPr>
          <w:rFonts w:hint="eastAsia" w:ascii="宋体" w:hAnsi="宋体"/>
          <w:spacing w:val="8"/>
          <w:sz w:val="24"/>
          <w:szCs w:val="24"/>
        </w:rPr>
        <w:t>发生，甲乙双方经友好协商，现就双方在甲方政府采购项目</w:t>
      </w:r>
      <w:r>
        <w:rPr>
          <w:rFonts w:hint="eastAsia" w:ascii="宋体" w:hAnsi="宋体"/>
          <w:spacing w:val="8"/>
          <w:sz w:val="24"/>
          <w:szCs w:val="24"/>
          <w:u w:val="single"/>
        </w:rPr>
        <w:t xml:space="preserve">               </w:t>
      </w:r>
      <w:r>
        <w:rPr>
          <w:rFonts w:hint="eastAsia" w:ascii="宋体" w:hAnsi="宋体"/>
          <w:sz w:val="24"/>
          <w:szCs w:val="24"/>
        </w:rPr>
        <w:t>实施过程的廉政管理签定如下公约：</w:t>
      </w:r>
    </w:p>
    <w:p>
      <w:pPr>
        <w:spacing w:line="360" w:lineRule="auto"/>
        <w:rPr>
          <w:rFonts w:ascii="宋体" w:hAnsi="宋体"/>
          <w:sz w:val="24"/>
          <w:szCs w:val="24"/>
        </w:rPr>
      </w:pPr>
      <w:r>
        <w:rPr>
          <w:rFonts w:hint="eastAsia" w:ascii="宋体" w:hAnsi="宋体"/>
          <w:sz w:val="24"/>
          <w:szCs w:val="24"/>
        </w:rPr>
        <w:t xml:space="preserve">    一、双方在该项目的政府采购过程中将严格遵守《中华人民共和国招标投标法》和《中华人民共和国政府采购法》以及政府采购（含建设工程招投标）的有关法律、行政法规等规定。</w:t>
      </w:r>
    </w:p>
    <w:p>
      <w:pPr>
        <w:spacing w:line="360" w:lineRule="auto"/>
        <w:rPr>
          <w:rFonts w:ascii="宋体" w:hAnsi="宋体"/>
          <w:sz w:val="24"/>
          <w:szCs w:val="24"/>
        </w:rPr>
      </w:pPr>
      <w:r>
        <w:rPr>
          <w:rFonts w:hint="eastAsia" w:ascii="宋体" w:hAnsi="宋体"/>
          <w:sz w:val="24"/>
          <w:szCs w:val="24"/>
        </w:rPr>
        <w:t xml:space="preserve">    二、任何单位和部门不得排除和限制公平竞争，不得进行地方保护和行业垄断，禁止限制和排斥本地区、本系统外符合资质条件的单位参加甲方的政府采购竞投活动。</w:t>
      </w:r>
    </w:p>
    <w:p>
      <w:pPr>
        <w:spacing w:line="360" w:lineRule="auto"/>
        <w:rPr>
          <w:rFonts w:ascii="宋体" w:hAnsi="宋体"/>
          <w:sz w:val="24"/>
          <w:szCs w:val="24"/>
        </w:rPr>
      </w:pPr>
      <w:r>
        <w:rPr>
          <w:rFonts w:hint="eastAsia" w:ascii="宋体" w:hAnsi="宋体"/>
          <w:sz w:val="24"/>
          <w:szCs w:val="24"/>
        </w:rPr>
        <w:t xml:space="preserve">    三、甲方应当遵从政府采购的有关管理规定制定发给投标方的采购项目的有关文件，严格按照规定完成发标、答疑、开标、评标和发出中标通知书等工作；与乙方密切协作，遵从政府采购的有关规定、采购项目的招投标文件和中标通知书，签定采购项目合同。</w:t>
      </w:r>
    </w:p>
    <w:p>
      <w:pPr>
        <w:spacing w:line="360" w:lineRule="auto"/>
        <w:rPr>
          <w:rFonts w:ascii="宋体" w:hAnsi="宋体"/>
          <w:sz w:val="24"/>
          <w:szCs w:val="24"/>
        </w:rPr>
      </w:pPr>
      <w:r>
        <w:rPr>
          <w:rFonts w:hint="eastAsia" w:ascii="宋体" w:hAnsi="宋体"/>
          <w:sz w:val="24"/>
          <w:szCs w:val="24"/>
        </w:rPr>
        <w:t xml:space="preserve">    四、甲方采购项目的政府采购活动应接受纪检监察部门的监督。按规定需向投标人公布的事项必须完全公布，不能向投标人透露的事项必须完全保密。</w:t>
      </w:r>
    </w:p>
    <w:p>
      <w:pPr>
        <w:spacing w:line="360" w:lineRule="auto"/>
        <w:rPr>
          <w:rFonts w:ascii="宋体" w:hAnsi="宋体"/>
          <w:sz w:val="24"/>
          <w:szCs w:val="24"/>
        </w:rPr>
      </w:pPr>
      <w:r>
        <w:rPr>
          <w:rFonts w:hint="eastAsia" w:ascii="宋体" w:hAnsi="宋体"/>
          <w:sz w:val="24"/>
          <w:szCs w:val="24"/>
        </w:rPr>
        <w:t xml:space="preserve">    五、甲方人员不得接受乙方的吃请馈赠，不得向乙方索要钱物。</w:t>
      </w:r>
    </w:p>
    <w:p>
      <w:pPr>
        <w:spacing w:line="360" w:lineRule="auto"/>
        <w:rPr>
          <w:rFonts w:ascii="宋体" w:hAnsi="宋体"/>
          <w:sz w:val="24"/>
          <w:szCs w:val="24"/>
        </w:rPr>
      </w:pPr>
      <w:r>
        <w:rPr>
          <w:rFonts w:hint="eastAsia" w:ascii="宋体" w:hAnsi="宋体"/>
          <w:sz w:val="24"/>
          <w:szCs w:val="24"/>
        </w:rPr>
        <w:t xml:space="preserve">    六、乙方应当遵从政府采购的有关管理规定并按照甲方招标文件要求完成投标的有关文件。</w:t>
      </w:r>
    </w:p>
    <w:p>
      <w:pPr>
        <w:spacing w:line="360" w:lineRule="auto"/>
        <w:rPr>
          <w:rFonts w:ascii="宋体" w:hAnsi="宋体"/>
          <w:sz w:val="24"/>
          <w:szCs w:val="24"/>
        </w:rPr>
      </w:pPr>
      <w:r>
        <w:rPr>
          <w:rFonts w:hint="eastAsia" w:ascii="宋体" w:hAnsi="宋体"/>
          <w:sz w:val="24"/>
          <w:szCs w:val="24"/>
        </w:rPr>
        <w:t xml:space="preserve">    七、乙方不得向甲方人员和评标委员会的组成人员以及竞争性谈判、单一来源谈判、询价采购小组的组成人员行贿或者采取其他不正当手段谋取中标或者成交。</w:t>
      </w:r>
    </w:p>
    <w:p>
      <w:pPr>
        <w:spacing w:line="360" w:lineRule="auto"/>
        <w:rPr>
          <w:rFonts w:ascii="宋体" w:hAnsi="宋体"/>
          <w:sz w:val="24"/>
          <w:szCs w:val="24"/>
        </w:rPr>
      </w:pPr>
      <w:r>
        <w:rPr>
          <w:rFonts w:hint="eastAsia" w:ascii="宋体" w:hAnsi="宋体"/>
          <w:sz w:val="24"/>
          <w:szCs w:val="24"/>
        </w:rPr>
        <w:t xml:space="preserve">    八、乙方不得与参加投标的其他供应商串通进行投标且不得弄虚作假骗取中标。</w:t>
      </w:r>
    </w:p>
    <w:p>
      <w:pPr>
        <w:spacing w:line="360" w:lineRule="auto"/>
        <w:rPr>
          <w:rFonts w:ascii="宋体" w:hAnsi="宋体"/>
          <w:sz w:val="24"/>
          <w:szCs w:val="24"/>
        </w:rPr>
      </w:pPr>
      <w:r>
        <w:rPr>
          <w:rFonts w:hint="eastAsia" w:ascii="宋体" w:hAnsi="宋体"/>
          <w:sz w:val="24"/>
          <w:szCs w:val="24"/>
        </w:rPr>
        <w:t xml:space="preserve">    九、甲乙任一方在本采购项目的实施过程中违反政府采购有关法律和行政法规的，按有关规定予以处罚；因此造成对方损失的，应承担赔偿责任。</w:t>
      </w:r>
    </w:p>
    <w:p>
      <w:pPr>
        <w:spacing w:line="360" w:lineRule="auto"/>
        <w:rPr>
          <w:rFonts w:ascii="宋体" w:hAnsi="宋体"/>
          <w:sz w:val="24"/>
          <w:szCs w:val="24"/>
        </w:rPr>
      </w:pPr>
      <w:r>
        <w:rPr>
          <w:rFonts w:hint="eastAsia" w:ascii="宋体" w:hAnsi="宋体"/>
          <w:sz w:val="24"/>
          <w:szCs w:val="24"/>
        </w:rPr>
        <w:t xml:space="preserve">    十、本公约一式</w:t>
      </w:r>
      <w:r>
        <w:rPr>
          <w:rFonts w:hint="eastAsia" w:ascii="宋体" w:hAnsi="宋体"/>
          <w:sz w:val="24"/>
          <w:szCs w:val="24"/>
          <w:u w:val="single"/>
        </w:rPr>
        <w:t xml:space="preserve">    </w:t>
      </w:r>
      <w:r>
        <w:rPr>
          <w:rFonts w:hint="eastAsia" w:ascii="宋体" w:hAnsi="宋体"/>
          <w:sz w:val="24"/>
          <w:szCs w:val="24"/>
        </w:rPr>
        <w:t>份，甲乙双方各执</w:t>
      </w:r>
      <w:r>
        <w:rPr>
          <w:rFonts w:hint="eastAsia" w:ascii="宋体" w:hAnsi="宋体"/>
          <w:sz w:val="24"/>
          <w:szCs w:val="24"/>
          <w:u w:val="single"/>
        </w:rPr>
        <w:t xml:space="preserve">    </w:t>
      </w:r>
      <w:r>
        <w:rPr>
          <w:rFonts w:hint="eastAsia" w:ascii="宋体" w:hAnsi="宋体"/>
          <w:sz w:val="24"/>
          <w:szCs w:val="24"/>
        </w:rPr>
        <w:t>份。自双方签字盖章之日生效。</w:t>
      </w:r>
    </w:p>
    <w:p>
      <w:pPr>
        <w:spacing w:line="360" w:lineRule="auto"/>
        <w:rPr>
          <w:rFonts w:ascii="宋体" w:hAnsi="宋体"/>
          <w:sz w:val="24"/>
          <w:szCs w:val="24"/>
        </w:rPr>
      </w:pP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甲方（盖章）：   </w:t>
      </w:r>
      <w:r>
        <w:rPr>
          <w:rFonts w:hint="eastAsia" w:ascii="宋体" w:hAnsi="宋体"/>
          <w:spacing w:val="-20"/>
          <w:sz w:val="24"/>
          <w:szCs w:val="24"/>
        </w:rPr>
        <w:t xml:space="preserve">                                 乙</w:t>
      </w:r>
      <w:r>
        <w:rPr>
          <w:rFonts w:hint="eastAsia" w:ascii="宋体" w:hAnsi="宋体"/>
          <w:sz w:val="24"/>
          <w:szCs w:val="24"/>
        </w:rPr>
        <w:t>方（盖章）：</w:t>
      </w:r>
    </w:p>
    <w:p>
      <w:pPr>
        <w:spacing w:line="360" w:lineRule="auto"/>
        <w:ind w:firstLine="480" w:firstLineChars="200"/>
        <w:rPr>
          <w:rFonts w:ascii="宋体" w:hAnsi="宋体"/>
          <w:sz w:val="24"/>
          <w:szCs w:val="24"/>
        </w:rPr>
      </w:pPr>
      <w:r>
        <w:rPr>
          <w:rFonts w:hint="eastAsia" w:ascii="宋体" w:hAnsi="宋体"/>
          <w:sz w:val="24"/>
          <w:szCs w:val="24"/>
        </w:rPr>
        <w:t>甲方代表：                             乙方代表：</w:t>
      </w:r>
    </w:p>
    <w:p>
      <w:pPr>
        <w:spacing w:line="360" w:lineRule="auto"/>
        <w:ind w:firstLine="480" w:firstLineChars="200"/>
        <w:rPr>
          <w:rFonts w:ascii="宋体" w:hAnsi="宋体"/>
          <w:b/>
          <w:spacing w:val="200"/>
          <w:sz w:val="24"/>
          <w:szCs w:val="24"/>
        </w:rPr>
      </w:pPr>
      <w:r>
        <w:rPr>
          <w:rFonts w:hint="eastAsia" w:ascii="宋体" w:hAnsi="宋体"/>
          <w:sz w:val="24"/>
          <w:szCs w:val="24"/>
        </w:rPr>
        <w:t>日期：      年   月   日               日期：    年   月   日</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jc w:val="center"/>
        <w:rPr>
          <w:rFonts w:ascii="宋体" w:hAnsi="宋体"/>
          <w:b/>
          <w:sz w:val="24"/>
          <w:szCs w:val="24"/>
        </w:rPr>
      </w:pPr>
      <w:r>
        <w:rPr>
          <w:rFonts w:hint="eastAsia" w:ascii="宋体" w:hAnsi="宋体"/>
          <w:sz w:val="24"/>
          <w:szCs w:val="24"/>
        </w:rPr>
        <w:br w:type="page"/>
      </w:r>
      <w:r>
        <w:rPr>
          <w:rFonts w:hint="eastAsia" w:ascii="宋体" w:hAnsi="宋体"/>
          <w:b/>
          <w:sz w:val="24"/>
          <w:szCs w:val="24"/>
        </w:rPr>
        <w:t>保密协议</w:t>
      </w:r>
    </w:p>
    <w:p>
      <w:pPr>
        <w:spacing w:line="360" w:lineRule="auto"/>
        <w:rPr>
          <w:rFonts w:ascii="宋体" w:hAnsi="宋体"/>
          <w:sz w:val="24"/>
          <w:szCs w:val="24"/>
          <w:u w:val="single"/>
        </w:rPr>
      </w:pPr>
      <w:r>
        <w:rPr>
          <w:rFonts w:hint="eastAsia" w:ascii="宋体" w:hAnsi="宋体"/>
          <w:sz w:val="24"/>
          <w:szCs w:val="24"/>
        </w:rPr>
        <w:t>甲方：</w:t>
      </w:r>
      <w:r>
        <w:rPr>
          <w:rFonts w:hint="eastAsia" w:ascii="宋体" w:hAnsi="宋体"/>
          <w:sz w:val="24"/>
          <w:szCs w:val="24"/>
          <w:u w:val="single"/>
        </w:rPr>
        <w:t>广东省应急管理厅</w:t>
      </w:r>
    </w:p>
    <w:p>
      <w:pPr>
        <w:spacing w:line="360" w:lineRule="auto"/>
        <w:rPr>
          <w:rFonts w:ascii="宋体" w:hAnsi="宋体"/>
          <w:sz w:val="24"/>
          <w:szCs w:val="24"/>
          <w:u w:val="single"/>
        </w:rPr>
      </w:pPr>
      <w:r>
        <w:rPr>
          <w:rFonts w:hint="eastAsia" w:ascii="宋体" w:hAnsi="宋体"/>
          <w:sz w:val="24"/>
          <w:szCs w:val="24"/>
        </w:rPr>
        <w:t>乙方：</w:t>
      </w:r>
      <w:r>
        <w:rPr>
          <w:rFonts w:hint="eastAsia" w:ascii="宋体" w:hAnsi="宋体"/>
          <w:sz w:val="24"/>
          <w:szCs w:val="24"/>
          <w:u w:val="single"/>
        </w:rPr>
        <w:t xml:space="preserve">广东信通通信有限公司 </w:t>
      </w:r>
    </w:p>
    <w:p>
      <w:pPr>
        <w:spacing w:line="360" w:lineRule="auto"/>
        <w:ind w:firstLine="480" w:firstLineChars="200"/>
        <w:rPr>
          <w:rFonts w:ascii="宋体" w:hAnsi="宋体"/>
          <w:sz w:val="24"/>
          <w:szCs w:val="24"/>
        </w:rPr>
      </w:pPr>
      <w:r>
        <w:rPr>
          <w:rFonts w:hint="eastAsia" w:ascii="宋体" w:hAnsi="宋体"/>
          <w:sz w:val="24"/>
          <w:szCs w:val="24"/>
        </w:rPr>
        <w:t>基于甲乙双方已经或者将会获得双方的国家秘密、党政机关保密信息、商业秘密，并且双方已经意识到合作将涉及双方的业务和技术信息，而这些业务和技术信息属于保密性质，任何一方向双方现有或潜在的竞争对手或其他方披露任何这些保密信息，将会导致任何一方处于一个非常不利的竞争地位，并将会损害双方的业务以及利益。为明确双方之间的权利义务，经过甲乙双方自愿平等协商，本着诚信、公平的原则达成以下协议以资双方共同遵守：</w:t>
      </w:r>
    </w:p>
    <w:p>
      <w:pPr>
        <w:spacing w:line="360" w:lineRule="auto"/>
        <w:rPr>
          <w:rFonts w:ascii="宋体" w:hAnsi="宋体"/>
          <w:sz w:val="24"/>
          <w:szCs w:val="24"/>
        </w:rPr>
      </w:pPr>
      <w:r>
        <w:rPr>
          <w:rFonts w:hint="eastAsia" w:ascii="宋体" w:hAnsi="宋体"/>
          <w:sz w:val="24"/>
          <w:szCs w:val="24"/>
        </w:rPr>
        <w:t>第一条、保密范围。</w:t>
      </w:r>
    </w:p>
    <w:p>
      <w:pPr>
        <w:spacing w:line="360" w:lineRule="auto"/>
        <w:ind w:firstLine="480" w:firstLineChars="200"/>
        <w:rPr>
          <w:rFonts w:ascii="宋体" w:hAnsi="宋体"/>
          <w:sz w:val="24"/>
          <w:szCs w:val="24"/>
        </w:rPr>
      </w:pPr>
      <w:r>
        <w:rPr>
          <w:rFonts w:hint="eastAsia" w:ascii="宋体" w:hAnsi="宋体"/>
          <w:sz w:val="24"/>
          <w:szCs w:val="24"/>
        </w:rPr>
        <w:t>为本协议之目的，“保密信息”指属于甲乙双方或其母公司、附属公司、关联公司、有业务或合同关系的任何公司(“相关公司”)在讨论、签订、执行本合同过程中所获悉的属于对方的且无法自公开渠道获得的文件及资料（包括国家秘密、党政机关保密信息、商业秘密、公司计划、运营活动、财务信息、技术信息、经营信息及其他文件资料）。上述保密信息包括但不限于：</w:t>
      </w:r>
    </w:p>
    <w:p>
      <w:pPr>
        <w:autoSpaceDE w:val="0"/>
        <w:spacing w:line="360" w:lineRule="auto"/>
        <w:ind w:firstLine="480" w:firstLineChars="200"/>
        <w:rPr>
          <w:rFonts w:ascii="宋体" w:hAnsi="宋体"/>
          <w:sz w:val="24"/>
          <w:szCs w:val="24"/>
        </w:rPr>
      </w:pPr>
      <w:r>
        <w:rPr>
          <w:rFonts w:hint="eastAsia" w:ascii="宋体" w:hAnsi="宋体"/>
          <w:sz w:val="24"/>
          <w:szCs w:val="24"/>
        </w:rPr>
        <w:t>(1)技术、工艺、设计的资料、图纸以及配方、配料、合成比例等;</w:t>
      </w:r>
    </w:p>
    <w:p>
      <w:pPr>
        <w:autoSpaceDE w:val="0"/>
        <w:spacing w:line="360" w:lineRule="auto"/>
        <w:ind w:firstLine="480" w:firstLineChars="200"/>
        <w:rPr>
          <w:rFonts w:ascii="宋体" w:hAnsi="宋体"/>
          <w:sz w:val="24"/>
          <w:szCs w:val="24"/>
        </w:rPr>
      </w:pPr>
      <w:r>
        <w:rPr>
          <w:rFonts w:hint="eastAsia" w:ascii="宋体" w:hAnsi="宋体"/>
          <w:sz w:val="24"/>
          <w:szCs w:val="24"/>
        </w:rPr>
        <w:t>(2)甲乙双方所有的知识产权有关的一切资料、计算机软件资料、计算机硬件设备资料;</w:t>
      </w:r>
    </w:p>
    <w:p>
      <w:pPr>
        <w:autoSpaceDE w:val="0"/>
        <w:spacing w:line="360" w:lineRule="auto"/>
        <w:ind w:firstLine="480" w:firstLineChars="200"/>
        <w:rPr>
          <w:rFonts w:ascii="宋体" w:hAnsi="宋体"/>
          <w:sz w:val="24"/>
          <w:szCs w:val="24"/>
        </w:rPr>
      </w:pPr>
      <w:r>
        <w:rPr>
          <w:rFonts w:hint="eastAsia" w:ascii="宋体" w:hAnsi="宋体"/>
          <w:sz w:val="24"/>
          <w:szCs w:val="24"/>
        </w:rPr>
        <w:t>(3)电脑数据、内部文件、设计和功能规格, 开发计划、实施进度及其结果;</w:t>
      </w:r>
    </w:p>
    <w:p>
      <w:pPr>
        <w:autoSpaceDE w:val="0"/>
        <w:spacing w:line="360" w:lineRule="auto"/>
        <w:ind w:firstLine="480" w:firstLineChars="200"/>
        <w:rPr>
          <w:rFonts w:ascii="宋体" w:hAnsi="宋体"/>
          <w:sz w:val="24"/>
          <w:szCs w:val="24"/>
        </w:rPr>
      </w:pPr>
      <w:r>
        <w:rPr>
          <w:rFonts w:hint="eastAsia" w:ascii="宋体" w:hAnsi="宋体"/>
          <w:sz w:val="24"/>
          <w:szCs w:val="24"/>
        </w:rPr>
        <w:t>(4)产品开发和研制的各种技术数据;</w:t>
      </w:r>
    </w:p>
    <w:p>
      <w:pPr>
        <w:autoSpaceDE w:val="0"/>
        <w:spacing w:line="360" w:lineRule="auto"/>
        <w:ind w:firstLine="480" w:firstLineChars="200"/>
        <w:rPr>
          <w:rFonts w:ascii="宋体" w:hAnsi="宋体"/>
          <w:sz w:val="24"/>
          <w:szCs w:val="24"/>
        </w:rPr>
      </w:pPr>
      <w:r>
        <w:rPr>
          <w:rFonts w:hint="eastAsia" w:ascii="宋体" w:hAnsi="宋体"/>
          <w:sz w:val="24"/>
          <w:szCs w:val="24"/>
        </w:rPr>
        <w:t>(5)甲乙双方的财务计划及收支情况;</w:t>
      </w:r>
    </w:p>
    <w:p>
      <w:pPr>
        <w:autoSpaceDE w:val="0"/>
        <w:spacing w:line="360" w:lineRule="auto"/>
        <w:ind w:firstLine="480" w:firstLineChars="200"/>
        <w:rPr>
          <w:rFonts w:ascii="宋体" w:hAnsi="宋体"/>
          <w:sz w:val="24"/>
          <w:szCs w:val="24"/>
        </w:rPr>
      </w:pPr>
      <w:r>
        <w:rPr>
          <w:rFonts w:hint="eastAsia" w:ascii="宋体" w:hAnsi="宋体"/>
          <w:sz w:val="24"/>
          <w:szCs w:val="24"/>
        </w:rPr>
        <w:t>(6)甲乙双方供应商及客户的信息;</w:t>
      </w:r>
    </w:p>
    <w:p>
      <w:pPr>
        <w:autoSpaceDE w:val="0"/>
        <w:spacing w:line="360" w:lineRule="auto"/>
        <w:ind w:firstLine="480" w:firstLineChars="200"/>
        <w:rPr>
          <w:rFonts w:ascii="宋体" w:hAnsi="宋体"/>
          <w:sz w:val="24"/>
          <w:szCs w:val="24"/>
        </w:rPr>
      </w:pPr>
      <w:r>
        <w:rPr>
          <w:rFonts w:hint="eastAsia" w:ascii="宋体" w:hAnsi="宋体"/>
          <w:sz w:val="24"/>
          <w:szCs w:val="24"/>
        </w:rPr>
        <w:t>(7)甲乙双方的各类档案材料，包括但不限于涉及国家秘密、党政机关保密信息、个人隐私、商业秘密等内容;</w:t>
      </w:r>
    </w:p>
    <w:p>
      <w:pPr>
        <w:autoSpaceDE w:val="0"/>
        <w:spacing w:line="360" w:lineRule="auto"/>
        <w:ind w:firstLine="480" w:firstLineChars="200"/>
        <w:rPr>
          <w:rFonts w:ascii="宋体" w:hAnsi="宋体"/>
          <w:sz w:val="24"/>
          <w:szCs w:val="24"/>
        </w:rPr>
      </w:pPr>
      <w:r>
        <w:rPr>
          <w:rFonts w:hint="eastAsia" w:ascii="宋体" w:hAnsi="宋体"/>
          <w:sz w:val="24"/>
          <w:szCs w:val="24"/>
        </w:rPr>
        <w:t>(8)与经营、计划、营销或技术有关的信息;</w:t>
      </w:r>
    </w:p>
    <w:p>
      <w:pPr>
        <w:autoSpaceDE w:val="0"/>
        <w:spacing w:line="360" w:lineRule="auto"/>
        <w:ind w:firstLine="480" w:firstLineChars="200"/>
        <w:rPr>
          <w:rFonts w:ascii="宋体" w:hAnsi="宋体"/>
          <w:sz w:val="24"/>
          <w:szCs w:val="24"/>
        </w:rPr>
      </w:pPr>
      <w:r>
        <w:rPr>
          <w:rFonts w:hint="eastAsia" w:ascii="宋体" w:hAnsi="宋体"/>
          <w:sz w:val="24"/>
          <w:szCs w:val="24"/>
        </w:rPr>
        <w:t>(9)甲乙双方由第三者处收到的他们的专有或机密资料，且这些第三者均对甲乙双方表示该等资料仅可在某些有限的目的上使用并要求甲乙双方对该等资料保密;</w:t>
      </w:r>
    </w:p>
    <w:p>
      <w:pPr>
        <w:autoSpaceDE w:val="0"/>
        <w:spacing w:line="360" w:lineRule="auto"/>
        <w:ind w:firstLine="480" w:firstLineChars="200"/>
        <w:rPr>
          <w:rFonts w:ascii="宋体" w:hAnsi="宋体"/>
          <w:sz w:val="24"/>
          <w:szCs w:val="24"/>
        </w:rPr>
      </w:pPr>
      <w:r>
        <w:rPr>
          <w:rFonts w:hint="eastAsia" w:ascii="宋体" w:hAnsi="宋体"/>
          <w:sz w:val="24"/>
          <w:szCs w:val="24"/>
        </w:rPr>
        <w:t>(10)其他为甲乙双方或甲乙双方的商业伙伴所单独掌握的、能为甲乙双方或甲乙双方的商业伙伴带来经济效益的、并且经甲乙双方或甲乙双方商业伙伴采取保密措施的技术信息和经营信息。</w:t>
      </w:r>
    </w:p>
    <w:p>
      <w:pPr>
        <w:spacing w:line="360" w:lineRule="auto"/>
        <w:rPr>
          <w:rFonts w:ascii="宋体" w:hAnsi="宋体"/>
          <w:sz w:val="24"/>
          <w:szCs w:val="24"/>
        </w:rPr>
      </w:pPr>
      <w:r>
        <w:rPr>
          <w:rFonts w:hint="eastAsia" w:ascii="宋体" w:hAnsi="宋体"/>
          <w:sz w:val="24"/>
          <w:szCs w:val="24"/>
        </w:rPr>
        <w:t>第二条、保密义务。</w:t>
      </w:r>
    </w:p>
    <w:p>
      <w:pPr>
        <w:spacing w:line="360" w:lineRule="auto"/>
        <w:ind w:firstLine="480" w:firstLineChars="200"/>
        <w:rPr>
          <w:rFonts w:ascii="宋体" w:hAnsi="宋体"/>
          <w:sz w:val="24"/>
          <w:szCs w:val="24"/>
        </w:rPr>
      </w:pPr>
      <w:r>
        <w:rPr>
          <w:rFonts w:hint="eastAsia" w:ascii="宋体" w:hAnsi="宋体"/>
          <w:sz w:val="24"/>
          <w:szCs w:val="24"/>
        </w:rPr>
        <w:t>甲乙双方承担并不限于如下保密义务：</w:t>
      </w:r>
    </w:p>
    <w:p>
      <w:pPr>
        <w:autoSpaceDE w:val="0"/>
        <w:spacing w:line="360" w:lineRule="auto"/>
        <w:ind w:firstLine="480" w:firstLineChars="200"/>
        <w:rPr>
          <w:rFonts w:ascii="宋体" w:hAnsi="宋体"/>
          <w:sz w:val="24"/>
          <w:szCs w:val="24"/>
        </w:rPr>
      </w:pPr>
      <w:r>
        <w:rPr>
          <w:rFonts w:hint="eastAsia" w:ascii="宋体" w:hAnsi="宋体"/>
          <w:sz w:val="24"/>
          <w:szCs w:val="24"/>
        </w:rPr>
        <w:t>(1)不得刺探与买卖合同业务无关的甲乙双方以及甲乙双方商业伙伴的国家秘密、商业秘密;</w:t>
      </w:r>
    </w:p>
    <w:p>
      <w:pPr>
        <w:autoSpaceDE w:val="0"/>
        <w:spacing w:line="360" w:lineRule="auto"/>
        <w:ind w:firstLine="480" w:firstLineChars="200"/>
        <w:rPr>
          <w:rFonts w:ascii="宋体" w:hAnsi="宋体"/>
          <w:sz w:val="24"/>
          <w:szCs w:val="24"/>
        </w:rPr>
      </w:pPr>
      <w:r>
        <w:rPr>
          <w:rFonts w:hint="eastAsia" w:ascii="宋体" w:hAnsi="宋体"/>
          <w:sz w:val="24"/>
          <w:szCs w:val="24"/>
        </w:rPr>
        <w:t>(2)不得向任何第三人披露甲乙双方以及商业伙伴的商业秘密;</w:t>
      </w:r>
    </w:p>
    <w:p>
      <w:pPr>
        <w:autoSpaceDE w:val="0"/>
        <w:spacing w:line="360" w:lineRule="auto"/>
        <w:ind w:firstLine="480" w:firstLineChars="200"/>
        <w:rPr>
          <w:rFonts w:ascii="宋体" w:hAnsi="宋体"/>
          <w:sz w:val="24"/>
          <w:szCs w:val="24"/>
        </w:rPr>
      </w:pPr>
      <w:r>
        <w:rPr>
          <w:rFonts w:hint="eastAsia" w:ascii="宋体" w:hAnsi="宋体"/>
          <w:sz w:val="24"/>
          <w:szCs w:val="24"/>
        </w:rPr>
        <w:t>(3)不得允许(出借、赠与、出租、转让等方式处分甲乙双方商业秘密的行为皆属于“允许”)或协助任何第三人使用甲乙双方商业秘密信息;</w:t>
      </w:r>
    </w:p>
    <w:p>
      <w:pPr>
        <w:autoSpaceDE w:val="0"/>
        <w:spacing w:line="360" w:lineRule="auto"/>
        <w:ind w:firstLine="480" w:firstLineChars="200"/>
        <w:rPr>
          <w:rFonts w:ascii="宋体" w:hAnsi="宋体"/>
          <w:sz w:val="24"/>
          <w:szCs w:val="24"/>
        </w:rPr>
      </w:pPr>
      <w:r>
        <w:rPr>
          <w:rFonts w:hint="eastAsia" w:ascii="宋体" w:hAnsi="宋体"/>
          <w:sz w:val="24"/>
          <w:szCs w:val="24"/>
        </w:rPr>
        <w:t>(4)不得为自己利益使用或计划使用国家秘密、商业秘密;</w:t>
      </w:r>
    </w:p>
    <w:p>
      <w:pPr>
        <w:autoSpaceDE w:val="0"/>
        <w:spacing w:line="360" w:lineRule="auto"/>
        <w:ind w:firstLine="480" w:firstLineChars="200"/>
        <w:rPr>
          <w:rFonts w:ascii="宋体" w:hAnsi="宋体"/>
          <w:sz w:val="24"/>
          <w:szCs w:val="24"/>
        </w:rPr>
      </w:pPr>
      <w:r>
        <w:rPr>
          <w:rFonts w:hint="eastAsia" w:ascii="宋体" w:hAnsi="宋体"/>
          <w:sz w:val="24"/>
          <w:szCs w:val="24"/>
        </w:rPr>
        <w:t>(5)不得复制或公开包含甲乙双方单位商业秘密内容的文件、信函、正本、副本、磁盘、光盘等;</w:t>
      </w:r>
    </w:p>
    <w:p>
      <w:pPr>
        <w:autoSpaceDE w:val="0"/>
        <w:spacing w:line="360" w:lineRule="auto"/>
        <w:ind w:firstLine="480" w:firstLineChars="200"/>
        <w:rPr>
          <w:rFonts w:ascii="宋体" w:hAnsi="宋体"/>
          <w:sz w:val="24"/>
          <w:szCs w:val="24"/>
        </w:rPr>
      </w:pPr>
      <w:r>
        <w:rPr>
          <w:rFonts w:hint="eastAsia" w:ascii="宋体" w:hAnsi="宋体"/>
          <w:sz w:val="24"/>
          <w:szCs w:val="24"/>
        </w:rPr>
        <w:t>(6)不得劝诱掌握商业秘密的人员泄露国家秘密、商业秘密。</w:t>
      </w:r>
    </w:p>
    <w:p>
      <w:pPr>
        <w:spacing w:line="360" w:lineRule="auto"/>
        <w:rPr>
          <w:rFonts w:ascii="宋体" w:hAnsi="宋体"/>
          <w:sz w:val="24"/>
          <w:szCs w:val="24"/>
        </w:rPr>
      </w:pPr>
      <w:r>
        <w:rPr>
          <w:rFonts w:hint="eastAsia" w:ascii="宋体" w:hAnsi="宋体"/>
          <w:sz w:val="24"/>
          <w:szCs w:val="24"/>
        </w:rPr>
        <w:t>第三条、保密期限。</w:t>
      </w:r>
    </w:p>
    <w:p>
      <w:pPr>
        <w:autoSpaceDE w:val="0"/>
        <w:spacing w:line="360" w:lineRule="auto"/>
        <w:ind w:firstLine="480" w:firstLineChars="200"/>
        <w:rPr>
          <w:rFonts w:ascii="宋体" w:hAnsi="宋体"/>
          <w:sz w:val="24"/>
          <w:szCs w:val="24"/>
        </w:rPr>
      </w:pPr>
      <w:r>
        <w:rPr>
          <w:rFonts w:hint="eastAsia" w:ascii="宋体" w:hAnsi="宋体"/>
          <w:sz w:val="24"/>
          <w:szCs w:val="24"/>
        </w:rPr>
        <w:t>双方保密义务不因主合同及本合同无效或解除或终止而无效或终止，保密期限至任一方对外正式公开有关信息时为止。</w:t>
      </w:r>
    </w:p>
    <w:p>
      <w:pPr>
        <w:spacing w:line="360" w:lineRule="auto"/>
        <w:rPr>
          <w:rFonts w:ascii="宋体" w:hAnsi="宋体"/>
          <w:sz w:val="24"/>
          <w:szCs w:val="24"/>
        </w:rPr>
      </w:pPr>
      <w:r>
        <w:rPr>
          <w:rFonts w:hint="eastAsia" w:ascii="宋体" w:hAnsi="宋体"/>
          <w:sz w:val="24"/>
          <w:szCs w:val="24"/>
        </w:rPr>
        <w:t>第四条、违约责任。</w:t>
      </w:r>
    </w:p>
    <w:p>
      <w:pPr>
        <w:autoSpaceDE w:val="0"/>
        <w:spacing w:line="360" w:lineRule="auto"/>
        <w:ind w:firstLine="480" w:firstLineChars="200"/>
        <w:rPr>
          <w:rFonts w:ascii="宋体" w:hAnsi="宋体"/>
          <w:sz w:val="24"/>
          <w:szCs w:val="24"/>
        </w:rPr>
      </w:pPr>
      <w:r>
        <w:rPr>
          <w:rFonts w:hint="eastAsia" w:ascii="宋体" w:hAnsi="宋体"/>
          <w:sz w:val="24"/>
          <w:szCs w:val="24"/>
        </w:rPr>
        <w:t>甲乙双方商定，如任何一方违反上述各项义务而损害另一方利益，按照以下方法承担违约责任：</w:t>
      </w:r>
    </w:p>
    <w:p>
      <w:pPr>
        <w:autoSpaceDE w:val="0"/>
        <w:spacing w:line="360" w:lineRule="auto"/>
        <w:ind w:firstLine="480" w:firstLineChars="200"/>
        <w:rPr>
          <w:rFonts w:ascii="宋体" w:hAnsi="宋体"/>
          <w:sz w:val="24"/>
          <w:szCs w:val="24"/>
        </w:rPr>
      </w:pPr>
      <w:r>
        <w:rPr>
          <w:rFonts w:hint="eastAsia" w:ascii="宋体" w:hAnsi="宋体"/>
          <w:sz w:val="24"/>
          <w:szCs w:val="24"/>
        </w:rPr>
        <w:t>1.若违约方不履行本协议所规定的保密义务，应一次性向受害方支付违约金，违约金额为所签订合同金额的5%;</w:t>
      </w:r>
    </w:p>
    <w:p>
      <w:pPr>
        <w:autoSpaceDE w:val="0"/>
        <w:spacing w:line="360" w:lineRule="auto"/>
        <w:ind w:firstLine="480" w:firstLineChars="200"/>
        <w:rPr>
          <w:rFonts w:ascii="宋体" w:hAnsi="宋体"/>
          <w:sz w:val="24"/>
          <w:szCs w:val="24"/>
        </w:rPr>
      </w:pPr>
      <w:r>
        <w:rPr>
          <w:rFonts w:hint="eastAsia" w:ascii="宋体" w:hAnsi="宋体"/>
          <w:sz w:val="24"/>
          <w:szCs w:val="24"/>
        </w:rPr>
        <w:t>2.若因违约方的违约行为造成受害方损失的，违约方除支付违约金外还应承担赔偿受害方损失的责任，具体损失赔偿标准为：</w:t>
      </w:r>
    </w:p>
    <w:p>
      <w:pPr>
        <w:autoSpaceDE w:val="0"/>
        <w:spacing w:line="360" w:lineRule="auto"/>
        <w:ind w:firstLine="480" w:firstLineChars="200"/>
        <w:rPr>
          <w:rFonts w:ascii="宋体" w:hAnsi="宋体"/>
          <w:sz w:val="24"/>
          <w:szCs w:val="24"/>
        </w:rPr>
      </w:pPr>
      <w:r>
        <w:rPr>
          <w:rFonts w:hint="eastAsia" w:ascii="宋体" w:hAnsi="宋体"/>
          <w:sz w:val="24"/>
          <w:szCs w:val="24"/>
        </w:rPr>
        <w:t>(1)损失赔偿额为受害方因违约方的违约行为所受到的实际经济损失，包括受害方为开发、培植有关商业秘密所投入的费用，因违约方的违约行为导致受害方产品销售量减少的金额，以及依靠商业秘密取得的利润减少金额等;</w:t>
      </w:r>
    </w:p>
    <w:p>
      <w:pPr>
        <w:autoSpaceDE w:val="0"/>
        <w:spacing w:line="360" w:lineRule="auto"/>
        <w:ind w:firstLine="480" w:firstLineChars="200"/>
        <w:rPr>
          <w:rFonts w:ascii="宋体" w:hAnsi="宋体"/>
          <w:sz w:val="24"/>
          <w:szCs w:val="24"/>
        </w:rPr>
      </w:pPr>
      <w:r>
        <w:rPr>
          <w:rFonts w:hint="eastAsia" w:ascii="宋体" w:hAnsi="宋体"/>
          <w:sz w:val="24"/>
          <w:szCs w:val="24"/>
        </w:rPr>
        <w:t>(2)依照(1)款计算方法难以计算的，损失赔偿额为违约方因违约行为所获得的全部利润;</w:t>
      </w:r>
    </w:p>
    <w:p>
      <w:pPr>
        <w:autoSpaceDE w:val="0"/>
        <w:spacing w:line="360" w:lineRule="auto"/>
        <w:ind w:firstLine="480" w:firstLineChars="200"/>
        <w:rPr>
          <w:rFonts w:ascii="宋体" w:hAnsi="宋体"/>
          <w:sz w:val="24"/>
          <w:szCs w:val="24"/>
        </w:rPr>
      </w:pPr>
      <w:r>
        <w:rPr>
          <w:rFonts w:hint="eastAsia" w:ascii="宋体" w:hAnsi="宋体"/>
          <w:sz w:val="24"/>
          <w:szCs w:val="24"/>
        </w:rPr>
        <w:t>(3)受害方因调查违约方违约行为以及处理该纠纷而支付的合理费用(包括律师费)，由乙方承担。</w:t>
      </w:r>
    </w:p>
    <w:p>
      <w:pPr>
        <w:spacing w:line="360" w:lineRule="auto"/>
        <w:rPr>
          <w:rFonts w:ascii="宋体" w:hAnsi="宋体"/>
          <w:sz w:val="24"/>
          <w:szCs w:val="24"/>
        </w:rPr>
      </w:pPr>
      <w:r>
        <w:rPr>
          <w:rFonts w:hint="eastAsia" w:ascii="宋体" w:hAnsi="宋体"/>
          <w:sz w:val="24"/>
          <w:szCs w:val="24"/>
        </w:rPr>
        <w:t>第五条、争议的解决。</w:t>
      </w:r>
    </w:p>
    <w:p>
      <w:pPr>
        <w:spacing w:line="360" w:lineRule="auto"/>
        <w:ind w:firstLine="480" w:firstLineChars="200"/>
        <w:rPr>
          <w:rFonts w:ascii="宋体" w:hAnsi="宋体"/>
          <w:sz w:val="24"/>
          <w:szCs w:val="24"/>
        </w:rPr>
      </w:pPr>
      <w:r>
        <w:rPr>
          <w:rFonts w:hint="eastAsia" w:ascii="宋体" w:hAnsi="宋体"/>
          <w:sz w:val="24"/>
          <w:szCs w:val="24"/>
        </w:rPr>
        <w:t>因履行该合同产生的争议，甲乙双方应该友好协商解决，如协商解决不成，任何一方可以向甲方所在地法院提起诉讼。</w:t>
      </w:r>
    </w:p>
    <w:p>
      <w:pPr>
        <w:spacing w:line="360" w:lineRule="auto"/>
        <w:rPr>
          <w:rFonts w:ascii="宋体" w:hAnsi="宋体"/>
          <w:sz w:val="24"/>
          <w:szCs w:val="24"/>
        </w:rPr>
      </w:pPr>
      <w:r>
        <w:rPr>
          <w:rFonts w:hint="eastAsia" w:ascii="宋体" w:hAnsi="宋体"/>
          <w:sz w:val="24"/>
          <w:szCs w:val="24"/>
        </w:rPr>
        <w:t>第六条、本协议一式</w:t>
      </w:r>
      <w:r>
        <w:rPr>
          <w:rFonts w:hint="eastAsia" w:ascii="宋体" w:hAnsi="宋体"/>
          <w:sz w:val="24"/>
          <w:szCs w:val="24"/>
          <w:u w:val="single"/>
        </w:rPr>
        <w:t xml:space="preserve">      </w:t>
      </w:r>
      <w:r>
        <w:rPr>
          <w:rFonts w:hint="eastAsia" w:ascii="宋体" w:hAnsi="宋体"/>
          <w:sz w:val="24"/>
          <w:szCs w:val="24"/>
        </w:rPr>
        <w:t>份，甲方执</w:t>
      </w:r>
      <w:r>
        <w:rPr>
          <w:rFonts w:hint="eastAsia" w:ascii="宋体" w:hAnsi="宋体"/>
          <w:sz w:val="24"/>
          <w:szCs w:val="24"/>
          <w:u w:val="single"/>
        </w:rPr>
        <w:t>贰</w:t>
      </w:r>
      <w:r>
        <w:rPr>
          <w:rFonts w:hint="eastAsia" w:ascii="宋体" w:hAnsi="宋体"/>
          <w:sz w:val="24"/>
          <w:szCs w:val="24"/>
        </w:rPr>
        <w:t>份，乙方执</w:t>
      </w:r>
      <w:r>
        <w:rPr>
          <w:rFonts w:hint="eastAsia" w:ascii="宋体" w:hAnsi="宋体"/>
          <w:sz w:val="24"/>
          <w:szCs w:val="24"/>
          <w:u w:val="single"/>
        </w:rPr>
        <w:t xml:space="preserve">   </w:t>
      </w:r>
      <w:r>
        <w:rPr>
          <w:rFonts w:hint="eastAsia" w:ascii="宋体" w:hAnsi="宋体"/>
          <w:sz w:val="24"/>
          <w:szCs w:val="24"/>
        </w:rPr>
        <w:t>份。均具有同等效力。</w:t>
      </w:r>
    </w:p>
    <w:p>
      <w:pPr>
        <w:spacing w:line="360" w:lineRule="auto"/>
        <w:rPr>
          <w:rFonts w:ascii="宋体" w:hAnsi="宋体"/>
          <w:sz w:val="24"/>
          <w:szCs w:val="24"/>
        </w:rPr>
      </w:pPr>
      <w:r>
        <w:rPr>
          <w:rFonts w:hint="eastAsia" w:ascii="宋体" w:hAnsi="宋体"/>
          <w:sz w:val="24"/>
          <w:szCs w:val="24"/>
        </w:rPr>
        <w:t>第七条、本协议自双方签字或签章后生效。</w:t>
      </w:r>
    </w:p>
    <w:p>
      <w:pPr>
        <w:spacing w:line="360" w:lineRule="auto"/>
        <w:rPr>
          <w:rFonts w:ascii="宋体" w:hAnsi="宋体"/>
          <w:sz w:val="24"/>
          <w:szCs w:val="24"/>
        </w:rPr>
      </w:pP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甲方（盖章）：   </w:t>
      </w:r>
      <w:r>
        <w:rPr>
          <w:rFonts w:hint="eastAsia" w:ascii="宋体" w:hAnsi="宋体"/>
          <w:spacing w:val="-20"/>
          <w:sz w:val="24"/>
          <w:szCs w:val="24"/>
        </w:rPr>
        <w:t xml:space="preserve">                                 乙</w:t>
      </w:r>
      <w:r>
        <w:rPr>
          <w:rFonts w:hint="eastAsia" w:ascii="宋体" w:hAnsi="宋体"/>
          <w:sz w:val="24"/>
          <w:szCs w:val="24"/>
        </w:rPr>
        <w:t>方（盖章）：</w:t>
      </w:r>
    </w:p>
    <w:p>
      <w:pPr>
        <w:spacing w:line="360" w:lineRule="auto"/>
        <w:ind w:firstLine="480" w:firstLineChars="200"/>
        <w:rPr>
          <w:rFonts w:ascii="宋体" w:hAnsi="宋体"/>
          <w:sz w:val="24"/>
          <w:szCs w:val="24"/>
        </w:rPr>
      </w:pPr>
      <w:r>
        <w:rPr>
          <w:rFonts w:hint="eastAsia" w:ascii="宋体" w:hAnsi="宋体"/>
          <w:sz w:val="24"/>
          <w:szCs w:val="24"/>
        </w:rPr>
        <w:t>甲方代表：                             乙方代表：</w:t>
      </w:r>
    </w:p>
    <w:p>
      <w:pPr>
        <w:spacing w:line="360" w:lineRule="auto"/>
        <w:ind w:firstLine="480" w:firstLineChars="200"/>
        <w:rPr>
          <w:rFonts w:ascii="宋体" w:hAnsi="宋体"/>
          <w:b/>
          <w:spacing w:val="200"/>
          <w:sz w:val="24"/>
          <w:szCs w:val="24"/>
        </w:rPr>
      </w:pPr>
      <w:r>
        <w:rPr>
          <w:rFonts w:hint="eastAsia" w:ascii="宋体" w:hAnsi="宋体"/>
          <w:sz w:val="24"/>
          <w:szCs w:val="24"/>
        </w:rPr>
        <w:t>日期：      年   月   日               日期：    年   月   日</w:t>
      </w:r>
    </w:p>
    <w:p>
      <w:pPr>
        <w:spacing w:line="360" w:lineRule="auto"/>
        <w:rPr>
          <w:rFonts w:ascii="宋体" w:hAnsi="宋体"/>
          <w:sz w:val="24"/>
          <w:szCs w:val="24"/>
        </w:rPr>
      </w:pPr>
    </w:p>
    <w:p>
      <w:pPr>
        <w:pStyle w:val="2"/>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TJlYWIxMmVmODQ2ZTBhOWM0YzlhYTBjZWQxOGIifQ=="/>
  </w:docVars>
  <w:rsids>
    <w:rsidRoot w:val="3EA95BAB"/>
    <w:rsid w:val="180A1371"/>
    <w:rsid w:val="3EA95BAB"/>
    <w:rsid w:val="6FC7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ind w:left="420" w:leftChars="200"/>
      <w:jc w:val="left"/>
      <w:outlineLvl w:val="1"/>
    </w:pPr>
    <w:rPr>
      <w:rFonts w:ascii="Arial" w:hAnsi="Arial" w:eastAsia="楷体_GB2312"/>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next w:val="5"/>
    <w:qFormat/>
    <w:uiPriority w:val="99"/>
    <w:pPr>
      <w:spacing w:line="480" w:lineRule="atLeast"/>
    </w:pPr>
    <w:rPr>
      <w:rFonts w:ascii="楷体_GB2312" w:eastAsia="楷体_GB2312"/>
      <w:b/>
      <w:sz w:val="30"/>
    </w:rPr>
  </w:style>
  <w:style w:type="paragraph" w:styleId="5">
    <w:name w:val="toc 5"/>
    <w:basedOn w:val="1"/>
    <w:next w:val="1"/>
    <w:unhideWhenUsed/>
    <w:qFormat/>
    <w:uiPriority w:val="0"/>
    <w:pPr>
      <w:ind w:left="840"/>
      <w:jc w:val="left"/>
    </w:pPr>
    <w:rPr>
      <w:rFonts w:ascii="Calibri" w:hAnsi="Calibri" w:cs="Calibri"/>
      <w:sz w:val="18"/>
      <w:szCs w:val="18"/>
    </w:rPr>
  </w:style>
  <w:style w:type="paragraph" w:styleId="6">
    <w:name w:val="Body Text Indent 3"/>
    <w:basedOn w:val="1"/>
    <w:qFormat/>
    <w:uiPriority w:val="0"/>
    <w:pPr>
      <w:spacing w:after="120"/>
      <w:ind w:left="420" w:leftChars="200"/>
    </w:pPr>
    <w:rPr>
      <w:sz w:val="16"/>
      <w:szCs w:val="16"/>
    </w:rPr>
  </w:style>
  <w:style w:type="paragraph" w:customStyle="1" w:styleId="9">
    <w:name w:val="_Style 3"/>
    <w:next w:val="6"/>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2023-11-13T09:35:00Z</dcterms:created>
  <dc:creator>小莉</dc:creator>
  <cp:lastModifiedBy>小莉</cp:lastModifiedBy>
  <dcterms:modified xsi:type="dcterms:W3CDTF">2023-11-13T09:36:00Z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6BD2F4E4EB3E4709B12203BFAFB08010_11</vt:lpwstr>
  </property>
</Properties>
</file>