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b/>
          <w:bCs/>
          <w:sz w:val="24"/>
          <w:szCs w:val="24"/>
          <w:lang w:eastAsia="zh-CN"/>
        </w:rPr>
        <w:t>虎威威</w:t>
      </w:r>
      <w:r>
        <w:rPr>
          <w:rFonts w:hint="eastAsia"/>
          <w:b/>
          <w:bCs/>
          <w:sz w:val="24"/>
          <w:szCs w:val="24"/>
        </w:rPr>
        <w:t>森林防火宣教与应急预警</w:t>
      </w:r>
      <w:r>
        <w:rPr>
          <w:rFonts w:hint="eastAsia"/>
          <w:b/>
          <w:bCs/>
          <w:sz w:val="24"/>
          <w:szCs w:val="24"/>
          <w:lang w:val="en-US" w:eastAsia="zh-CN"/>
        </w:rPr>
        <w:t>设备采购</w:t>
      </w:r>
      <w:r>
        <w:rPr>
          <w:rFonts w:hint="eastAsia"/>
          <w:b/>
          <w:bCs/>
          <w:sz w:val="24"/>
          <w:szCs w:val="24"/>
        </w:rPr>
        <w:t>评分表</w:t>
      </w:r>
    </w:p>
    <w:p>
      <w:pPr>
        <w:rPr>
          <w:rFonts w:hint="eastAsia"/>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826"/>
        <w:gridCol w:w="1295"/>
        <w:gridCol w:w="442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Align w:val="center"/>
          </w:tcPr>
          <w:p>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评审项</w:t>
            </w:r>
          </w:p>
        </w:tc>
        <w:tc>
          <w:tcPr>
            <w:tcW w:w="826" w:type="dxa"/>
            <w:vAlign w:val="center"/>
          </w:tcPr>
          <w:p>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序号</w:t>
            </w:r>
          </w:p>
        </w:tc>
        <w:tc>
          <w:tcPr>
            <w:tcW w:w="1295" w:type="dxa"/>
            <w:vAlign w:val="center"/>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评审分项</w:t>
            </w:r>
          </w:p>
        </w:tc>
        <w:tc>
          <w:tcPr>
            <w:tcW w:w="4425" w:type="dxa"/>
            <w:vAlign w:val="center"/>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评分标准</w:t>
            </w:r>
          </w:p>
        </w:tc>
        <w:tc>
          <w:tcPr>
            <w:tcW w:w="788" w:type="dxa"/>
            <w:vAlign w:val="center"/>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restart"/>
            <w:vAlign w:val="center"/>
          </w:tcPr>
          <w:p>
            <w:pPr>
              <w:jc w:val="center"/>
              <w:rPr>
                <w:rFonts w:hint="eastAsia"/>
                <w:sz w:val="24"/>
                <w:szCs w:val="24"/>
                <w:vertAlign w:val="baseline"/>
                <w:lang w:val="en-US" w:eastAsia="zh-CN"/>
              </w:rPr>
            </w:pPr>
            <w:r>
              <w:rPr>
                <w:rFonts w:hint="eastAsia"/>
                <w:sz w:val="24"/>
                <w:szCs w:val="24"/>
                <w:vertAlign w:val="baseline"/>
                <w:lang w:val="en-US" w:eastAsia="zh-CN"/>
              </w:rPr>
              <w:t>商务评分</w:t>
            </w:r>
          </w:p>
          <w:p>
            <w:pPr>
              <w:jc w:val="center"/>
              <w:rPr>
                <w:rFonts w:hint="default" w:eastAsiaTheme="minorEastAsia"/>
                <w:sz w:val="24"/>
                <w:szCs w:val="24"/>
                <w:vertAlign w:val="baseline"/>
                <w:lang w:val="en-US" w:eastAsia="zh-CN"/>
              </w:rPr>
            </w:pPr>
            <w:r>
              <w:rPr>
                <w:rFonts w:hint="eastAsia"/>
                <w:sz w:val="24"/>
                <w:szCs w:val="24"/>
                <w:vertAlign w:val="baseline"/>
                <w:lang w:val="en-US" w:eastAsia="zh-CN"/>
              </w:rPr>
              <w:t>（20分）</w:t>
            </w:r>
          </w:p>
        </w:tc>
        <w:tc>
          <w:tcPr>
            <w:tcW w:w="826"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w:t>
            </w:r>
          </w:p>
        </w:tc>
        <w:tc>
          <w:tcPr>
            <w:tcW w:w="129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企业认证</w:t>
            </w:r>
          </w:p>
        </w:tc>
        <w:tc>
          <w:tcPr>
            <w:tcW w:w="4425" w:type="dxa"/>
            <w:vAlign w:val="center"/>
          </w:tcPr>
          <w:p>
            <w:pPr>
              <w:jc w:val="left"/>
              <w:rPr>
                <w:rFonts w:hint="eastAsia"/>
                <w:sz w:val="24"/>
                <w:szCs w:val="24"/>
                <w:vertAlign w:val="baseline"/>
              </w:rPr>
            </w:pPr>
            <w:r>
              <w:rPr>
                <w:rFonts w:hint="eastAsia"/>
                <w:sz w:val="24"/>
                <w:szCs w:val="24"/>
                <w:vertAlign w:val="baseline"/>
              </w:rPr>
              <w:t>具备信息技术服务管理体系认证证书、信息安全管理体系认证证书的每个得3分，最高得6分，否则得0分。</w:t>
            </w:r>
          </w:p>
          <w:p>
            <w:pPr>
              <w:jc w:val="left"/>
              <w:rPr>
                <w:rFonts w:hint="eastAsia"/>
                <w:sz w:val="24"/>
                <w:szCs w:val="24"/>
                <w:vertAlign w:val="baseline"/>
              </w:rPr>
            </w:pPr>
            <w:r>
              <w:rPr>
                <w:rFonts w:hint="eastAsia"/>
                <w:sz w:val="24"/>
                <w:szCs w:val="24"/>
                <w:vertAlign w:val="baseline"/>
                <w:lang w:eastAsia="zh-CN"/>
              </w:rPr>
              <w:t>（</w:t>
            </w:r>
            <w:r>
              <w:rPr>
                <w:rFonts w:hint="eastAsia"/>
                <w:sz w:val="24"/>
                <w:szCs w:val="24"/>
                <w:vertAlign w:val="baseline"/>
              </w:rPr>
              <w:t>需提供上述有效期内证书复印件;不提供或提供不清晰的不得分</w:t>
            </w:r>
            <w:r>
              <w:rPr>
                <w:rFonts w:hint="eastAsia"/>
                <w:sz w:val="24"/>
                <w:szCs w:val="24"/>
                <w:vertAlign w:val="baseline"/>
                <w:lang w:eastAsia="zh-CN"/>
              </w:rPr>
              <w:t>）</w:t>
            </w:r>
          </w:p>
        </w:tc>
        <w:tc>
          <w:tcPr>
            <w:tcW w:w="788"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jc w:val="center"/>
              <w:rPr>
                <w:rFonts w:hint="eastAsia"/>
                <w:sz w:val="24"/>
                <w:szCs w:val="24"/>
                <w:vertAlign w:val="baseline"/>
              </w:rPr>
            </w:pPr>
          </w:p>
        </w:tc>
        <w:tc>
          <w:tcPr>
            <w:tcW w:w="82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129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售后服务保障能力</w:t>
            </w:r>
          </w:p>
        </w:tc>
        <w:tc>
          <w:tcPr>
            <w:tcW w:w="4425" w:type="dxa"/>
            <w:vAlign w:val="center"/>
          </w:tcPr>
          <w:p>
            <w:pPr>
              <w:jc w:val="left"/>
              <w:rPr>
                <w:rFonts w:hint="eastAsia"/>
                <w:sz w:val="24"/>
                <w:szCs w:val="24"/>
                <w:vertAlign w:val="baseline"/>
              </w:rPr>
            </w:pPr>
            <w:r>
              <w:rPr>
                <w:rFonts w:hint="eastAsia"/>
                <w:sz w:val="24"/>
                <w:szCs w:val="24"/>
                <w:vertAlign w:val="baseline"/>
              </w:rPr>
              <w:t>投标人具有ITSS运行维护能力三级及以上证书的，得2分。</w:t>
            </w:r>
          </w:p>
          <w:p>
            <w:pPr>
              <w:jc w:val="left"/>
              <w:rPr>
                <w:rFonts w:hint="eastAsia"/>
                <w:sz w:val="24"/>
                <w:szCs w:val="24"/>
                <w:vertAlign w:val="baseline"/>
              </w:rPr>
            </w:pPr>
            <w:r>
              <w:rPr>
                <w:rFonts w:hint="eastAsia"/>
                <w:sz w:val="24"/>
                <w:szCs w:val="24"/>
                <w:vertAlign w:val="baseline"/>
              </w:rPr>
              <w:t>投标人具有 2020年1月1日以来相关运维服务业绩的每提供一个，得一份，最多得6分。</w:t>
            </w:r>
          </w:p>
          <w:p>
            <w:pPr>
              <w:jc w:val="left"/>
              <w:rPr>
                <w:rFonts w:hint="eastAsia"/>
                <w:sz w:val="24"/>
                <w:szCs w:val="24"/>
                <w:vertAlign w:val="baseline"/>
              </w:rPr>
            </w:pPr>
            <w:r>
              <w:rPr>
                <w:rFonts w:hint="eastAsia"/>
                <w:sz w:val="24"/>
                <w:szCs w:val="24"/>
                <w:vertAlign w:val="baseline"/>
                <w:lang w:eastAsia="zh-CN"/>
              </w:rPr>
              <w:t>（</w:t>
            </w:r>
            <w:r>
              <w:rPr>
                <w:rFonts w:hint="eastAsia"/>
                <w:sz w:val="24"/>
                <w:szCs w:val="24"/>
                <w:vertAlign w:val="baseline"/>
              </w:rPr>
              <w:t>需提供上述合同复印件;不提供或提供不清晰的不得分</w:t>
            </w:r>
            <w:r>
              <w:rPr>
                <w:rFonts w:hint="eastAsia"/>
                <w:sz w:val="24"/>
                <w:szCs w:val="24"/>
                <w:vertAlign w:val="baseline"/>
                <w:lang w:eastAsia="zh-CN"/>
              </w:rPr>
              <w:t>）</w:t>
            </w:r>
          </w:p>
        </w:tc>
        <w:tc>
          <w:tcPr>
            <w:tcW w:w="788"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jc w:val="center"/>
              <w:rPr>
                <w:rFonts w:hint="eastAsia"/>
                <w:sz w:val="24"/>
                <w:szCs w:val="24"/>
                <w:vertAlign w:val="baseline"/>
              </w:rPr>
            </w:pPr>
          </w:p>
        </w:tc>
        <w:tc>
          <w:tcPr>
            <w:tcW w:w="82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3</w:t>
            </w:r>
          </w:p>
        </w:tc>
        <w:tc>
          <w:tcPr>
            <w:tcW w:w="129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服务便利性</w:t>
            </w:r>
          </w:p>
        </w:tc>
        <w:tc>
          <w:tcPr>
            <w:tcW w:w="4425" w:type="dxa"/>
            <w:vAlign w:val="center"/>
          </w:tcPr>
          <w:p>
            <w:pPr>
              <w:jc w:val="left"/>
              <w:rPr>
                <w:rFonts w:hint="eastAsia"/>
                <w:sz w:val="24"/>
                <w:szCs w:val="24"/>
                <w:vertAlign w:val="baseline"/>
              </w:rPr>
            </w:pPr>
            <w:r>
              <w:rPr>
                <w:rFonts w:hint="eastAsia"/>
                <w:sz w:val="24"/>
                <w:szCs w:val="24"/>
                <w:vertAlign w:val="baseline"/>
              </w:rPr>
              <w:t>在接到采购人通知后能在3小时以内提供现场服务的得6分，4小时以内的得3分，6小时以内的得1分，其他不得分。</w:t>
            </w:r>
          </w:p>
          <w:p>
            <w:pPr>
              <w:jc w:val="left"/>
              <w:rPr>
                <w:rFonts w:hint="eastAsia"/>
                <w:sz w:val="24"/>
                <w:szCs w:val="24"/>
                <w:vertAlign w:val="baseline"/>
              </w:rPr>
            </w:pPr>
            <w:r>
              <w:rPr>
                <w:rFonts w:hint="eastAsia"/>
                <w:sz w:val="24"/>
                <w:szCs w:val="24"/>
                <w:vertAlign w:val="baseline"/>
              </w:rPr>
              <w:t>注:提供相关承诺函，格式自拟。</w:t>
            </w:r>
          </w:p>
        </w:tc>
        <w:tc>
          <w:tcPr>
            <w:tcW w:w="788"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restart"/>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技术评分（30分）</w:t>
            </w:r>
          </w:p>
        </w:tc>
        <w:tc>
          <w:tcPr>
            <w:tcW w:w="826"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1</w:t>
            </w:r>
          </w:p>
        </w:tc>
        <w:tc>
          <w:tcPr>
            <w:tcW w:w="1295"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质保期</w:t>
            </w:r>
          </w:p>
        </w:tc>
        <w:tc>
          <w:tcPr>
            <w:tcW w:w="4425" w:type="dxa"/>
            <w:vAlign w:val="center"/>
          </w:tcPr>
          <w:p>
            <w:pPr>
              <w:jc w:val="left"/>
              <w:rPr>
                <w:rFonts w:hint="eastAsia"/>
                <w:sz w:val="24"/>
                <w:szCs w:val="24"/>
                <w:vertAlign w:val="baseline"/>
              </w:rPr>
            </w:pPr>
            <w:r>
              <w:rPr>
                <w:rFonts w:hint="eastAsia"/>
                <w:sz w:val="24"/>
                <w:szCs w:val="24"/>
                <w:vertAlign w:val="baseline"/>
              </w:rPr>
              <w:t>投标人需提供三年的质保服务，质保期内设备损坏及丢失均由中标人负责。注:提供相关承诺函，格式自拟。</w:t>
            </w:r>
          </w:p>
        </w:tc>
        <w:tc>
          <w:tcPr>
            <w:tcW w:w="788"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jc w:val="center"/>
              <w:rPr>
                <w:rFonts w:hint="eastAsia"/>
                <w:sz w:val="24"/>
                <w:szCs w:val="24"/>
                <w:vertAlign w:val="baseline"/>
              </w:rPr>
            </w:pPr>
          </w:p>
        </w:tc>
        <w:tc>
          <w:tcPr>
            <w:tcW w:w="826"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2</w:t>
            </w:r>
          </w:p>
        </w:tc>
        <w:tc>
          <w:tcPr>
            <w:tcW w:w="129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系统集成</w:t>
            </w:r>
          </w:p>
        </w:tc>
        <w:tc>
          <w:tcPr>
            <w:tcW w:w="4425" w:type="dxa"/>
            <w:vAlign w:val="center"/>
          </w:tcPr>
          <w:p>
            <w:pPr>
              <w:jc w:val="left"/>
              <w:rPr>
                <w:rFonts w:hint="eastAsia"/>
                <w:sz w:val="24"/>
                <w:szCs w:val="24"/>
                <w:vertAlign w:val="baseline"/>
              </w:rPr>
            </w:pPr>
            <w:r>
              <w:rPr>
                <w:rFonts w:hint="eastAsia"/>
                <w:sz w:val="24"/>
                <w:szCs w:val="24"/>
                <w:vertAlign w:val="baseline"/>
              </w:rPr>
              <w:t>投标人提供含设备选点服务、地基建设(水泥、沙子等原材料)、安装调试等一切服务。横向比较，方案分析描述，分析详细合理具有很高的可操作性得5分;分析较详细合理具有可操作性的得3分;分析不够详细，但具有一定的可操作性的得1分。</w:t>
            </w:r>
          </w:p>
        </w:tc>
        <w:tc>
          <w:tcPr>
            <w:tcW w:w="788"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jc w:val="center"/>
              <w:rPr>
                <w:rFonts w:hint="eastAsia"/>
                <w:sz w:val="24"/>
                <w:szCs w:val="24"/>
                <w:vertAlign w:val="baseline"/>
              </w:rPr>
            </w:pPr>
          </w:p>
        </w:tc>
        <w:tc>
          <w:tcPr>
            <w:tcW w:w="826"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3</w:t>
            </w:r>
          </w:p>
        </w:tc>
        <w:tc>
          <w:tcPr>
            <w:tcW w:w="129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定期巡检维护</w:t>
            </w:r>
          </w:p>
        </w:tc>
        <w:tc>
          <w:tcPr>
            <w:tcW w:w="4425" w:type="dxa"/>
            <w:vAlign w:val="center"/>
          </w:tcPr>
          <w:p>
            <w:pPr>
              <w:jc w:val="left"/>
              <w:rPr>
                <w:rFonts w:hint="eastAsia"/>
                <w:sz w:val="24"/>
                <w:szCs w:val="24"/>
                <w:vertAlign w:val="baseline"/>
              </w:rPr>
            </w:pPr>
            <w:r>
              <w:rPr>
                <w:rFonts w:hint="eastAsia"/>
                <w:sz w:val="24"/>
                <w:szCs w:val="24"/>
                <w:vertAlign w:val="baseline"/>
              </w:rPr>
              <w:t>对本期项目建设的所有设备进行每季度一次的巡检维护工作，并生成巡检报告。横向比较，方案分析描述，分析详细合理具有很高的可操作性得5分;分析较详细合理具有可操作性的得3分;分析不够详细，但具有一定的可操作性的得1分。</w:t>
            </w:r>
          </w:p>
        </w:tc>
        <w:tc>
          <w:tcPr>
            <w:tcW w:w="788"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jc w:val="center"/>
              <w:rPr>
                <w:rFonts w:hint="eastAsia"/>
                <w:sz w:val="24"/>
                <w:szCs w:val="24"/>
                <w:vertAlign w:val="baseline"/>
              </w:rPr>
            </w:pPr>
          </w:p>
        </w:tc>
        <w:tc>
          <w:tcPr>
            <w:tcW w:w="82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4</w:t>
            </w:r>
          </w:p>
        </w:tc>
        <w:tc>
          <w:tcPr>
            <w:tcW w:w="129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流量卡服务</w:t>
            </w:r>
          </w:p>
        </w:tc>
        <w:tc>
          <w:tcPr>
            <w:tcW w:w="4425" w:type="dxa"/>
            <w:vAlign w:val="center"/>
          </w:tcPr>
          <w:p>
            <w:pPr>
              <w:jc w:val="left"/>
              <w:rPr>
                <w:rFonts w:hint="eastAsia"/>
                <w:sz w:val="24"/>
                <w:szCs w:val="24"/>
                <w:vertAlign w:val="baseline"/>
              </w:rPr>
            </w:pPr>
            <w:r>
              <w:rPr>
                <w:rFonts w:hint="eastAsia"/>
                <w:sz w:val="24"/>
                <w:szCs w:val="24"/>
                <w:vertAlign w:val="baseline"/>
              </w:rPr>
              <w:t>提供三年 4G 流量服务，保证后台随时可远程修改前端语音播报内容。横向比较,方案分析描述，分析详细合理具有很高的可操作性得5分;分析较详细合理具有可操作性的得3分;分析不够详细，但具有一定的可操作性的得1分。</w:t>
            </w:r>
          </w:p>
        </w:tc>
        <w:tc>
          <w:tcPr>
            <w:tcW w:w="788"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jc w:val="center"/>
              <w:rPr>
                <w:rFonts w:hint="eastAsia"/>
                <w:sz w:val="24"/>
                <w:szCs w:val="24"/>
                <w:vertAlign w:val="baseline"/>
              </w:rPr>
            </w:pPr>
          </w:p>
        </w:tc>
        <w:tc>
          <w:tcPr>
            <w:tcW w:w="82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w:t>
            </w:r>
          </w:p>
        </w:tc>
        <w:tc>
          <w:tcPr>
            <w:tcW w:w="129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软件服务对接</w:t>
            </w:r>
          </w:p>
        </w:tc>
        <w:tc>
          <w:tcPr>
            <w:tcW w:w="4425" w:type="dxa"/>
            <w:vAlign w:val="center"/>
          </w:tcPr>
          <w:p>
            <w:pPr>
              <w:jc w:val="left"/>
              <w:rPr>
                <w:rFonts w:hint="eastAsia"/>
                <w:sz w:val="24"/>
                <w:szCs w:val="24"/>
                <w:vertAlign w:val="baseline"/>
              </w:rPr>
            </w:pPr>
            <w:r>
              <w:rPr>
                <w:rFonts w:hint="eastAsia"/>
                <w:sz w:val="24"/>
                <w:szCs w:val="24"/>
                <w:vertAlign w:val="baseline"/>
              </w:rPr>
              <w:t>横向比较所建设的设备信息与省应急管理厅智慧森林火灾防治监测预警系统(一期)项目实现无缝对接的技术方案。分析描述，分析详细合理具有很高的可操作性得10分;分析较详细合理具有可操作性的得7分;分析不够详细，但且有一定的可操作性的得4分。</w:t>
            </w:r>
          </w:p>
        </w:tc>
        <w:tc>
          <w:tcPr>
            <w:tcW w:w="788" w:type="dxa"/>
            <w:vAlign w:val="center"/>
          </w:tcPr>
          <w:p>
            <w:pPr>
              <w:jc w:val="center"/>
              <w:rPr>
                <w:rFonts w:hint="default" w:eastAsiaTheme="minorEastAsia"/>
                <w:sz w:val="24"/>
                <w:szCs w:val="24"/>
                <w:vertAlign w:val="baseline"/>
                <w:lang w:val="en" w:eastAsia="zh-CN"/>
              </w:rPr>
            </w:pPr>
            <w:r>
              <w:rPr>
                <w:rFonts w:hint="default"/>
                <w:sz w:val="24"/>
                <w:szCs w:val="24"/>
                <w:vertAlign w:val="baseline"/>
                <w:lang w:val="en" w:eastAsia="zh-CN"/>
              </w:rPr>
              <w:t>10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价格评分（50分）</w:t>
            </w:r>
          </w:p>
        </w:tc>
        <w:tc>
          <w:tcPr>
            <w:tcW w:w="826"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129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投标报价</w:t>
            </w:r>
          </w:p>
        </w:tc>
        <w:tc>
          <w:tcPr>
            <w:tcW w:w="4425" w:type="dxa"/>
            <w:vAlign w:val="center"/>
          </w:tcPr>
          <w:p>
            <w:pPr>
              <w:jc w:val="left"/>
              <w:rPr>
                <w:rFonts w:hint="eastAsia"/>
                <w:sz w:val="24"/>
                <w:szCs w:val="24"/>
                <w:vertAlign w:val="baseline"/>
              </w:rPr>
            </w:pPr>
            <w:r>
              <w:rPr>
                <w:rFonts w:hint="eastAsia"/>
                <w:sz w:val="24"/>
                <w:szCs w:val="24"/>
                <w:vertAlign w:val="baseline"/>
              </w:rPr>
              <w:t>各投标人的报价得分=(评审基准价÷投标报价)x50(计算精确至小数点后两位)。其中实质性满足招标文件要求且投标报价最低的为评标基准价,其价格分为30</w:t>
            </w:r>
          </w:p>
          <w:p>
            <w:pPr>
              <w:jc w:val="left"/>
              <w:rPr>
                <w:rFonts w:hint="eastAsia"/>
                <w:sz w:val="24"/>
                <w:szCs w:val="24"/>
                <w:vertAlign w:val="baseline"/>
              </w:rPr>
            </w:pPr>
            <w:r>
              <w:rPr>
                <w:rFonts w:hint="eastAsia"/>
                <w:sz w:val="24"/>
                <w:szCs w:val="24"/>
                <w:vertAlign w:val="baseline"/>
              </w:rPr>
              <w:t>分。</w:t>
            </w:r>
          </w:p>
        </w:tc>
        <w:tc>
          <w:tcPr>
            <w:tcW w:w="788"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50</w:t>
            </w:r>
          </w:p>
        </w:tc>
      </w:tr>
    </w:tbl>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MzhiNWIzZDFkZjYzMGM0OWE4YWZlMTA2NDMxMzcifQ=="/>
  </w:docVars>
  <w:rsids>
    <w:rsidRoot w:val="00000000"/>
    <w:rsid w:val="55FE21AB"/>
    <w:rsid w:val="67180AD2"/>
    <w:rsid w:val="EBFE37BD"/>
    <w:rsid w:val="F5DE8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911</Words>
  <Characters>931</Characters>
  <Lines>0</Lines>
  <Paragraphs>0</Paragraphs>
  <TotalTime>12</TotalTime>
  <ScaleCrop>false</ScaleCrop>
  <LinksUpToDate>false</LinksUpToDate>
  <CharactersWithSpaces>934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2024-06-25T00:08:00Z</dcterms:created>
  <dc:creator>Tony</dc:creator>
  <cp:lastModifiedBy>林育红</cp:lastModifiedBy>
  <dcterms:modified xsi:type="dcterms:W3CDTF">2024-06-27T08:44:10Z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AAAC98A6F2324697AF713D35EBF388D6_13</vt:lpwstr>
  </property>
</Properties>
</file>